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A0106" w14:textId="5E80F2BC" w:rsidR="00445C39" w:rsidRDefault="00445C39">
      <w:pPr>
        <w:jc w:val="center"/>
      </w:pPr>
    </w:p>
    <w:p w14:paraId="3B9607F7" w14:textId="77777777" w:rsidR="00445C39" w:rsidRDefault="00445C39">
      <w:pPr>
        <w:spacing w:after="240"/>
      </w:pPr>
    </w:p>
    <w:p w14:paraId="05BC5ED5" w14:textId="77777777" w:rsidR="00445C39" w:rsidRDefault="00000000">
      <w:pPr>
        <w:bidi/>
        <w:jc w:val="right"/>
      </w:pPr>
      <w:r>
        <w:rPr>
          <w:rFonts w:ascii="Arial" w:eastAsia="Arial" w:hAnsi="Arial"/>
          <w:b/>
          <w:color w:val="1E56A0"/>
          <w:sz w:val="44"/>
        </w:rPr>
        <w:t>تقرير تحليلي وشامل لموقع ونظام "دفترك"</w:t>
      </w:r>
      <w:r>
        <w:rPr>
          <w:rFonts w:ascii="Arial" w:eastAsia="Arial" w:hAnsi="Arial"/>
          <w:b/>
          <w:color w:val="1E56A0"/>
          <w:sz w:val="44"/>
        </w:rPr>
        <w:br/>
        <w:t>(Dafatrak.com)</w:t>
      </w:r>
    </w:p>
    <w:p w14:paraId="268ECB86" w14:textId="77777777" w:rsidR="00445C39" w:rsidRDefault="00000000">
      <w:pPr>
        <w:bidi/>
        <w:jc w:val="right"/>
      </w:pPr>
      <w:r>
        <w:rPr>
          <w:rFonts w:ascii="Arial" w:eastAsia="Arial" w:hAnsi="Arial"/>
          <w:color w:val="646E78"/>
          <w:sz w:val="26"/>
        </w:rPr>
        <w:t>مراجعة وتقييم هندسي لمنصة الخدمات المالية والمحاسبية المبنية بإطار عمل Laravel بالمملكة العربية السعودية</w:t>
      </w:r>
    </w:p>
    <w:p w14:paraId="4F22ABB8" w14:textId="77777777" w:rsidR="00445C39" w:rsidRDefault="00000000">
      <w:pPr>
        <w:bidi/>
        <w:jc w:val="right"/>
      </w:pPr>
      <w:r>
        <w:rPr>
          <w:rFonts w:ascii="Arial" w:eastAsia="Arial" w:hAnsi="Arial"/>
          <w:b/>
          <w:color w:val="787878"/>
          <w:sz w:val="20"/>
        </w:rPr>
        <w:br/>
        <w:t>إعداد: قسم الاستشارات التقنية وهندسة النظم - Smart Logic</w:t>
      </w:r>
      <w:r>
        <w:rPr>
          <w:rFonts w:ascii="Arial" w:eastAsia="Arial" w:hAnsi="Arial"/>
          <w:b/>
          <w:color w:val="787878"/>
          <w:sz w:val="20"/>
        </w:rPr>
        <w:br/>
        <w:t>الرابط المرجعي: http://dafatrak.com/</w:t>
      </w:r>
      <w:r>
        <w:rPr>
          <w:rFonts w:ascii="Arial" w:eastAsia="Arial" w:hAnsi="Arial"/>
          <w:b/>
          <w:color w:val="787878"/>
          <w:sz w:val="20"/>
        </w:rPr>
        <w:br/>
        <w:t>التاريخ: أغسطس 2026</w:t>
      </w:r>
    </w:p>
    <w:p w14:paraId="00229C19" w14:textId="77777777" w:rsidR="00445C39" w:rsidRDefault="00000000">
      <w:r>
        <w:br/>
      </w:r>
    </w:p>
    <w:p w14:paraId="4ACB0DEC" w14:textId="77777777" w:rsidR="00445C39" w:rsidRDefault="00000000">
      <w:pPr>
        <w:pStyle w:val="Heading1"/>
        <w:bidi/>
        <w:spacing w:before="240" w:after="120"/>
        <w:jc w:val="right"/>
      </w:pPr>
      <w:r>
        <w:rPr>
          <w:rFonts w:ascii="Arial" w:eastAsia="Arial" w:hAnsi="Arial"/>
          <w:color w:val="1E56A0"/>
          <w:sz w:val="32"/>
        </w:rPr>
        <w:t>1. بيانات المنصة والنطاق الإلكتروني</w:t>
      </w:r>
    </w:p>
    <w:p w14:paraId="6AE20255" w14:textId="77777777" w:rsidR="00445C39" w:rsidRDefault="00000000">
      <w:pPr>
        <w:bidi/>
        <w:spacing w:after="120" w:line="300" w:lineRule="auto"/>
        <w:jc w:val="right"/>
      </w:pPr>
      <w:r>
        <w:rPr>
          <w:rFonts w:ascii="Arial" w:eastAsia="Arial" w:hAnsi="Arial"/>
          <w:color w:val="323232"/>
        </w:rPr>
        <w:t>يستعرض هذا التقرير مراجعة تقنية وفنية شاملة لموقع ومنصة "دفترك" (Dafatrak) المبنية باحترافية على إطار عمل Laravel، والتي تقدم خدمات المحاسبة وإدارة المالية الذكية للشركات والمؤسسات في المملكة العربية السعودية.</w:t>
      </w:r>
    </w:p>
    <w:tbl>
      <w:tblPr>
        <w:tblW w:w="0" w:type="auto"/>
        <w:jc w:val="center"/>
        <w:tblLayout w:type="fixed"/>
        <w:tblLook w:val="04A0" w:firstRow="1" w:lastRow="0" w:firstColumn="1" w:lastColumn="0" w:noHBand="0" w:noVBand="1"/>
      </w:tblPr>
      <w:tblGrid>
        <w:gridCol w:w="6192"/>
        <w:gridCol w:w="3168"/>
      </w:tblGrid>
      <w:tr w:rsidR="00445C39" w14:paraId="602B517A" w14:textId="77777777">
        <w:trPr>
          <w:jc w:val="center"/>
        </w:trPr>
        <w:tc>
          <w:tcPr>
            <w:tcW w:w="6192" w:type="dxa"/>
            <w:tcMar>
              <w:top w:w="100" w:type="dxa"/>
              <w:left w:w="150" w:type="dxa"/>
              <w:bottom w:w="100" w:type="dxa"/>
              <w:right w:w="150" w:type="dxa"/>
            </w:tcMar>
          </w:tcPr>
          <w:p w14:paraId="7B8058CF" w14:textId="77777777" w:rsidR="00445C39" w:rsidRDefault="00000000">
            <w:pPr>
              <w:bidi/>
              <w:jc w:val="right"/>
            </w:pPr>
            <w:r>
              <w:rPr>
                <w:rFonts w:ascii="Arial" w:eastAsia="Arial" w:hAnsi="Arial"/>
                <w:color w:val="282828"/>
                <w:sz w:val="20"/>
              </w:rPr>
              <w:t>http://dafatrak.com/</w:t>
            </w:r>
          </w:p>
        </w:tc>
        <w:tc>
          <w:tcPr>
            <w:tcW w:w="3168" w:type="dxa"/>
            <w:shd w:val="clear" w:color="auto" w:fill="F0F4F8"/>
            <w:tcMar>
              <w:top w:w="100" w:type="dxa"/>
              <w:left w:w="150" w:type="dxa"/>
              <w:bottom w:w="100" w:type="dxa"/>
              <w:right w:w="150" w:type="dxa"/>
            </w:tcMar>
          </w:tcPr>
          <w:p w14:paraId="05DBE6A1" w14:textId="77777777" w:rsidR="00445C39" w:rsidRDefault="00000000">
            <w:pPr>
              <w:bidi/>
              <w:jc w:val="right"/>
            </w:pPr>
            <w:r>
              <w:rPr>
                <w:rFonts w:ascii="Arial" w:eastAsia="Arial" w:hAnsi="Arial"/>
                <w:b/>
                <w:color w:val="1E56A0"/>
                <w:sz w:val="20"/>
              </w:rPr>
              <w:t>الرابط الإلكتروني الرسمـي:</w:t>
            </w:r>
          </w:p>
        </w:tc>
      </w:tr>
      <w:tr w:rsidR="00445C39" w14:paraId="188F30E5" w14:textId="77777777">
        <w:trPr>
          <w:jc w:val="center"/>
        </w:trPr>
        <w:tc>
          <w:tcPr>
            <w:tcW w:w="6192" w:type="dxa"/>
            <w:tcMar>
              <w:top w:w="100" w:type="dxa"/>
              <w:left w:w="150" w:type="dxa"/>
              <w:bottom w:w="100" w:type="dxa"/>
              <w:right w:w="150" w:type="dxa"/>
            </w:tcMar>
          </w:tcPr>
          <w:p w14:paraId="78E1AEDA" w14:textId="77777777" w:rsidR="00445C39" w:rsidRDefault="00000000">
            <w:pPr>
              <w:bidi/>
              <w:jc w:val="right"/>
            </w:pPr>
            <w:r>
              <w:rPr>
                <w:rFonts w:ascii="Arial" w:eastAsia="Arial" w:hAnsi="Arial"/>
                <w:color w:val="282828"/>
                <w:sz w:val="20"/>
              </w:rPr>
              <w:t>المملكة العربية السعودية (متوافق مع الأنظمة السعودية)</w:t>
            </w:r>
          </w:p>
        </w:tc>
        <w:tc>
          <w:tcPr>
            <w:tcW w:w="3168" w:type="dxa"/>
            <w:shd w:val="clear" w:color="auto" w:fill="F0F4F8"/>
            <w:tcMar>
              <w:top w:w="100" w:type="dxa"/>
              <w:left w:w="150" w:type="dxa"/>
              <w:bottom w:w="100" w:type="dxa"/>
              <w:right w:w="150" w:type="dxa"/>
            </w:tcMar>
          </w:tcPr>
          <w:p w14:paraId="04FDD2DE" w14:textId="77777777" w:rsidR="00445C39" w:rsidRDefault="00000000">
            <w:pPr>
              <w:bidi/>
              <w:jc w:val="right"/>
            </w:pPr>
            <w:r>
              <w:rPr>
                <w:rFonts w:ascii="Arial" w:eastAsia="Arial" w:hAnsi="Arial"/>
                <w:b/>
                <w:color w:val="1E56A0"/>
                <w:sz w:val="20"/>
              </w:rPr>
              <w:t>الدولة والمركز الرئيسي:</w:t>
            </w:r>
          </w:p>
        </w:tc>
      </w:tr>
      <w:tr w:rsidR="00445C39" w14:paraId="46727797" w14:textId="77777777">
        <w:trPr>
          <w:jc w:val="center"/>
        </w:trPr>
        <w:tc>
          <w:tcPr>
            <w:tcW w:w="6192" w:type="dxa"/>
            <w:tcMar>
              <w:top w:w="100" w:type="dxa"/>
              <w:left w:w="150" w:type="dxa"/>
              <w:bottom w:w="100" w:type="dxa"/>
              <w:right w:w="150" w:type="dxa"/>
            </w:tcMar>
          </w:tcPr>
          <w:p w14:paraId="4853750B" w14:textId="77777777" w:rsidR="00445C39" w:rsidRDefault="00000000">
            <w:pPr>
              <w:bidi/>
              <w:jc w:val="right"/>
            </w:pPr>
            <w:r>
              <w:rPr>
                <w:rFonts w:ascii="Arial" w:eastAsia="Arial" w:hAnsi="Arial"/>
                <w:color w:val="282828"/>
                <w:sz w:val="20"/>
              </w:rPr>
              <w:t>Laravel Framework (PHP) + Tailwind CSS + Vanilla JS / Vue.js + AI Copilot Integration</w:t>
            </w:r>
          </w:p>
        </w:tc>
        <w:tc>
          <w:tcPr>
            <w:tcW w:w="3168" w:type="dxa"/>
            <w:shd w:val="clear" w:color="auto" w:fill="F0F4F8"/>
            <w:tcMar>
              <w:top w:w="100" w:type="dxa"/>
              <w:left w:w="150" w:type="dxa"/>
              <w:bottom w:w="100" w:type="dxa"/>
              <w:right w:w="150" w:type="dxa"/>
            </w:tcMar>
          </w:tcPr>
          <w:p w14:paraId="44BDF525" w14:textId="77777777" w:rsidR="00445C39" w:rsidRDefault="00000000">
            <w:pPr>
              <w:bidi/>
              <w:jc w:val="right"/>
            </w:pPr>
            <w:r>
              <w:rPr>
                <w:rFonts w:ascii="Arial" w:eastAsia="Arial" w:hAnsi="Arial"/>
                <w:b/>
                <w:color w:val="1E56A0"/>
                <w:sz w:val="20"/>
              </w:rPr>
              <w:t>إطار العمل والتقنية (Tech Stack):</w:t>
            </w:r>
          </w:p>
        </w:tc>
      </w:tr>
      <w:tr w:rsidR="00445C39" w14:paraId="3D85D9D9" w14:textId="77777777">
        <w:trPr>
          <w:jc w:val="center"/>
        </w:trPr>
        <w:tc>
          <w:tcPr>
            <w:tcW w:w="6192" w:type="dxa"/>
            <w:tcMar>
              <w:top w:w="100" w:type="dxa"/>
              <w:left w:w="150" w:type="dxa"/>
              <w:bottom w:w="100" w:type="dxa"/>
              <w:right w:w="150" w:type="dxa"/>
            </w:tcMar>
          </w:tcPr>
          <w:p w14:paraId="3062ABF5" w14:textId="77777777" w:rsidR="00445C39" w:rsidRDefault="00000000">
            <w:pPr>
              <w:bidi/>
              <w:jc w:val="right"/>
            </w:pPr>
            <w:r>
              <w:rPr>
                <w:rFonts w:ascii="Arial" w:eastAsia="Arial" w:hAnsi="Arial"/>
                <w:color w:val="282828"/>
                <w:sz w:val="20"/>
              </w:rPr>
              <w:t>خدمات إدارة الحسابات، مسك الدفاتر، التخطيط المالي، والتحليلات لـ SMBs &amp; Enterprise</w:t>
            </w:r>
          </w:p>
        </w:tc>
        <w:tc>
          <w:tcPr>
            <w:tcW w:w="3168" w:type="dxa"/>
            <w:shd w:val="clear" w:color="auto" w:fill="F0F4F8"/>
            <w:tcMar>
              <w:top w:w="100" w:type="dxa"/>
              <w:left w:w="150" w:type="dxa"/>
              <w:bottom w:w="100" w:type="dxa"/>
              <w:right w:w="150" w:type="dxa"/>
            </w:tcMar>
          </w:tcPr>
          <w:p w14:paraId="546B9026" w14:textId="77777777" w:rsidR="00445C39" w:rsidRDefault="00000000">
            <w:pPr>
              <w:bidi/>
              <w:jc w:val="right"/>
            </w:pPr>
            <w:r>
              <w:rPr>
                <w:rFonts w:ascii="Arial" w:eastAsia="Arial" w:hAnsi="Arial"/>
                <w:b/>
                <w:color w:val="1E56A0"/>
                <w:sz w:val="20"/>
              </w:rPr>
              <w:t>تخصص المنصة الأساسي:</w:t>
            </w:r>
          </w:p>
        </w:tc>
      </w:tr>
      <w:tr w:rsidR="00445C39" w14:paraId="133AE8F6" w14:textId="77777777">
        <w:trPr>
          <w:jc w:val="center"/>
        </w:trPr>
        <w:tc>
          <w:tcPr>
            <w:tcW w:w="6192" w:type="dxa"/>
            <w:tcMar>
              <w:top w:w="100" w:type="dxa"/>
              <w:left w:w="150" w:type="dxa"/>
              <w:bottom w:w="100" w:type="dxa"/>
              <w:right w:w="150" w:type="dxa"/>
            </w:tcMar>
          </w:tcPr>
          <w:p w14:paraId="53031DB7" w14:textId="77777777" w:rsidR="00445C39" w:rsidRDefault="00000000">
            <w:pPr>
              <w:bidi/>
              <w:jc w:val="right"/>
            </w:pPr>
            <w:r>
              <w:rPr>
                <w:rFonts w:ascii="Arial" w:eastAsia="Arial" w:hAnsi="Arial"/>
                <w:color w:val="282828"/>
                <w:sz w:val="20"/>
              </w:rPr>
              <w:t>متوافق بالكامل مع معايير ZATCA (هيئة الزكاة والضريبة والجمارك) ومعايير IFRS الدولية</w:t>
            </w:r>
          </w:p>
        </w:tc>
        <w:tc>
          <w:tcPr>
            <w:tcW w:w="3168" w:type="dxa"/>
            <w:shd w:val="clear" w:color="auto" w:fill="F0F4F8"/>
            <w:tcMar>
              <w:top w:w="100" w:type="dxa"/>
              <w:left w:w="150" w:type="dxa"/>
              <w:bottom w:w="100" w:type="dxa"/>
              <w:right w:w="150" w:type="dxa"/>
            </w:tcMar>
          </w:tcPr>
          <w:p w14:paraId="3997E50D" w14:textId="77777777" w:rsidR="00445C39" w:rsidRDefault="00000000">
            <w:pPr>
              <w:bidi/>
              <w:jc w:val="right"/>
            </w:pPr>
            <w:r>
              <w:rPr>
                <w:rFonts w:ascii="Arial" w:eastAsia="Arial" w:hAnsi="Arial"/>
                <w:b/>
                <w:color w:val="1E56A0"/>
                <w:sz w:val="20"/>
              </w:rPr>
              <w:t>الهوية والتوافق الرقابي:</w:t>
            </w:r>
          </w:p>
        </w:tc>
      </w:tr>
    </w:tbl>
    <w:p w14:paraId="5607D28C" w14:textId="77777777" w:rsidR="00445C39" w:rsidRDefault="00445C39"/>
    <w:p w14:paraId="05253302" w14:textId="77777777" w:rsidR="00445C39" w:rsidRDefault="00000000">
      <w:pPr>
        <w:pStyle w:val="Heading1"/>
        <w:bidi/>
        <w:spacing w:before="240" w:after="120"/>
        <w:jc w:val="right"/>
      </w:pPr>
      <w:r>
        <w:rPr>
          <w:rFonts w:ascii="Arial" w:eastAsia="Arial" w:hAnsi="Arial"/>
          <w:color w:val="1E56A0"/>
          <w:sz w:val="32"/>
        </w:rPr>
        <w:t>2. نظرة عامة ورؤية المشروع</w:t>
      </w:r>
    </w:p>
    <w:p w14:paraId="7F2287A6" w14:textId="77777777" w:rsidR="00445C39" w:rsidRDefault="00000000">
      <w:pPr>
        <w:bidi/>
        <w:spacing w:after="120" w:line="300" w:lineRule="auto"/>
        <w:jc w:val="right"/>
      </w:pPr>
      <w:r>
        <w:rPr>
          <w:rFonts w:ascii="Arial" w:eastAsia="Arial" w:hAnsi="Arial"/>
          <w:color w:val="323232"/>
        </w:rPr>
        <w:t>تتبنى منصة "دفترك" شعاراً جوهرياً يتلخص في: "مع دفترك، تتحول الأرقام إلى قرارات". تهدف المنصة إلى تقديم نموذج هجين (Hybrid Accounting) يدمج بين قوة الأتمتة البرمجية عبر منصة Laravel وأدوات الذكاء الاصطناعي، وبين الخبرة البشرية للمحاسبين المعتمدين والمستشارين الماليين في السعودية.</w:t>
      </w:r>
    </w:p>
    <w:p w14:paraId="6ABAE6C9" w14:textId="77777777" w:rsidR="00445C39" w:rsidRDefault="00000000">
      <w:pPr>
        <w:bidi/>
        <w:spacing w:after="120" w:line="300" w:lineRule="auto"/>
        <w:jc w:val="right"/>
      </w:pPr>
      <w:r>
        <w:rPr>
          <w:rFonts w:ascii="Arial" w:eastAsia="Arial" w:hAnsi="Arial"/>
          <w:color w:val="323232"/>
        </w:rPr>
        <w:t>تخدم المنصة أربعة قطاعات رئيسية داخل السوق السعودي:</w:t>
      </w:r>
    </w:p>
    <w:p w14:paraId="1F34940C" w14:textId="77777777" w:rsidR="00445C39" w:rsidRDefault="00000000">
      <w:pPr>
        <w:pStyle w:val="ListBullet"/>
        <w:bidi/>
        <w:spacing w:after="80" w:line="288" w:lineRule="auto"/>
        <w:jc w:val="right"/>
      </w:pPr>
      <w:r>
        <w:rPr>
          <w:rFonts w:ascii="Arial" w:eastAsia="Arial" w:hAnsi="Arial"/>
          <w:b/>
          <w:color w:val="14325A"/>
        </w:rPr>
        <w:lastRenderedPageBreak/>
        <w:t xml:space="preserve">• الشركات الناشئة: </w:t>
      </w:r>
      <w:r>
        <w:rPr>
          <w:rFonts w:ascii="Arial" w:eastAsia="Arial" w:hAnsi="Arial"/>
          <w:color w:val="323232"/>
        </w:rPr>
        <w:t>المؤسسات والشركات الناشئة (Startups) الراغبة في تأسيس هيكل محاسبي متين بتكلفة منخفضة.</w:t>
      </w:r>
    </w:p>
    <w:p w14:paraId="3F2060D5" w14:textId="77777777" w:rsidR="00445C39" w:rsidRDefault="00000000">
      <w:pPr>
        <w:pStyle w:val="ListBullet"/>
        <w:bidi/>
        <w:spacing w:after="80" w:line="288" w:lineRule="auto"/>
        <w:jc w:val="right"/>
      </w:pPr>
      <w:r>
        <w:rPr>
          <w:rFonts w:ascii="Arial" w:eastAsia="Arial" w:hAnsi="Arial"/>
          <w:b/>
          <w:color w:val="14325A"/>
        </w:rPr>
        <w:t xml:space="preserve">• الشركات الصغيرة والمتوسطة: </w:t>
      </w:r>
      <w:r>
        <w:rPr>
          <w:rFonts w:ascii="Arial" w:eastAsia="Arial" w:hAnsi="Arial"/>
          <w:color w:val="323232"/>
        </w:rPr>
        <w:t>الشركات الصغيرة والمتوسطة (SMEs) التي تحتاج لمسك دفاتر منتظم وإصدار قوائم مالية دورية.</w:t>
      </w:r>
    </w:p>
    <w:p w14:paraId="582FA85D" w14:textId="77777777" w:rsidR="00445C39" w:rsidRDefault="00000000">
      <w:pPr>
        <w:pStyle w:val="ListBullet"/>
        <w:bidi/>
        <w:spacing w:after="80" w:line="288" w:lineRule="auto"/>
        <w:jc w:val="right"/>
      </w:pPr>
      <w:r>
        <w:rPr>
          <w:rFonts w:ascii="Arial" w:eastAsia="Arial" w:hAnsi="Arial"/>
          <w:b/>
          <w:color w:val="14325A"/>
        </w:rPr>
        <w:t xml:space="preserve">• الشركات المتنامية: </w:t>
      </w:r>
      <w:r>
        <w:rPr>
          <w:rFonts w:ascii="Arial" w:eastAsia="Arial" w:hAnsi="Arial"/>
          <w:color w:val="323232"/>
        </w:rPr>
        <w:t>الشركات السريعة النمو (Scaling Companies) التي تطلب تحليلات مؤشرات الأداء (KPIs) وتدفقات نقدية دقيقة.</w:t>
      </w:r>
    </w:p>
    <w:p w14:paraId="375AE196" w14:textId="77777777" w:rsidR="00445C39" w:rsidRDefault="00000000">
      <w:pPr>
        <w:pStyle w:val="ListBullet"/>
        <w:bidi/>
        <w:spacing w:after="80" w:line="288" w:lineRule="auto"/>
        <w:jc w:val="right"/>
      </w:pPr>
      <w:r>
        <w:rPr>
          <w:rFonts w:ascii="Arial" w:eastAsia="Arial" w:hAnsi="Arial"/>
          <w:b/>
          <w:color w:val="14325A"/>
        </w:rPr>
        <w:t xml:space="preserve">• الشركات العائلية: </w:t>
      </w:r>
      <w:r>
        <w:rPr>
          <w:rFonts w:ascii="Arial" w:eastAsia="Arial" w:hAnsi="Arial"/>
          <w:color w:val="323232"/>
        </w:rPr>
        <w:t>الشركات العائلية والمشاريع الكبرى التي تتطلب خبيراً مالياً تنفذياً (Mini CFO) وإشرافاً استشارياً مستمراً.</w:t>
      </w:r>
    </w:p>
    <w:p w14:paraId="348CFD40" w14:textId="77777777" w:rsidR="00445C39" w:rsidRDefault="00000000">
      <w:pPr>
        <w:pStyle w:val="Heading1"/>
        <w:bidi/>
        <w:spacing w:before="240" w:after="120"/>
        <w:jc w:val="right"/>
      </w:pPr>
      <w:r>
        <w:rPr>
          <w:rFonts w:ascii="Arial" w:eastAsia="Arial" w:hAnsi="Arial"/>
          <w:color w:val="1E56A0"/>
          <w:sz w:val="32"/>
        </w:rPr>
        <w:t>3. الميزات والخدمات الرئيسية المتاحة بالمنصة</w:t>
      </w:r>
    </w:p>
    <w:p w14:paraId="1FDC5E36" w14:textId="77777777" w:rsidR="00445C39" w:rsidRDefault="00000000">
      <w:pPr>
        <w:bidi/>
        <w:spacing w:after="120" w:line="300" w:lineRule="auto"/>
        <w:jc w:val="right"/>
      </w:pPr>
      <w:r>
        <w:rPr>
          <w:rFonts w:ascii="Arial" w:eastAsia="Arial" w:hAnsi="Arial"/>
          <w:color w:val="323232"/>
        </w:rPr>
        <w:t>يتميز الموقع بتقديم حزمة متكاملة من الخدمات المالية والمحاسبية المبتكرة، والتي تم تصميمها وتطويرها لتلبي متطلبات بيئة الأعمال السعودية:</w:t>
      </w:r>
    </w:p>
    <w:p w14:paraId="64170EEA" w14:textId="77777777" w:rsidR="00445C39" w:rsidRDefault="00000000">
      <w:pPr>
        <w:pStyle w:val="ListBullet"/>
        <w:bidi/>
        <w:spacing w:after="80" w:line="288" w:lineRule="auto"/>
        <w:jc w:val="right"/>
      </w:pPr>
      <w:r>
        <w:rPr>
          <w:rFonts w:ascii="Arial" w:eastAsia="Arial" w:hAnsi="Arial"/>
          <w:b/>
          <w:color w:val="14325A"/>
        </w:rPr>
        <w:t xml:space="preserve">1. مسك الدفاتر وإدارة الحسابات الشاملة (Smart Bookkeeping): </w:t>
      </w:r>
      <w:r>
        <w:rPr>
          <w:rFonts w:ascii="Arial" w:eastAsia="Arial" w:hAnsi="Arial"/>
          <w:color w:val="323232"/>
        </w:rPr>
        <w:t>إعداد شجرة الحسابات (Chart of Accounts)، تسجيل المبيعات، المصروفات، المشتريات، ورواتب الموظفين (Payroll) بدقة عالية مع تنبيهات تلقائية للأخطاء المحاسبية.</w:t>
      </w:r>
    </w:p>
    <w:p w14:paraId="63A403EB" w14:textId="77777777" w:rsidR="00445C39" w:rsidRDefault="00000000">
      <w:pPr>
        <w:pStyle w:val="ListBullet"/>
        <w:bidi/>
        <w:spacing w:after="80" w:line="288" w:lineRule="auto"/>
        <w:jc w:val="right"/>
      </w:pPr>
      <w:r>
        <w:rPr>
          <w:rFonts w:ascii="Arial" w:eastAsia="Arial" w:hAnsi="Arial"/>
          <w:b/>
          <w:color w:val="14325A"/>
        </w:rPr>
        <w:t xml:space="preserve">2. القوائم والتقارير المالية الفورية (Instant Financial Statements): </w:t>
      </w:r>
      <w:r>
        <w:rPr>
          <w:rFonts w:ascii="Arial" w:eastAsia="Arial" w:hAnsi="Arial"/>
          <w:color w:val="323232"/>
        </w:rPr>
        <w:t>إصدار القوائم المالية الكاملة (قائمة الدخل، الميزانية العمومية، وقائمة التدفقات النقدية) مطابقة لمعايير التقارير المالية الدولية (IFRS).</w:t>
      </w:r>
    </w:p>
    <w:p w14:paraId="26373134" w14:textId="77777777" w:rsidR="00445C39" w:rsidRDefault="00000000">
      <w:pPr>
        <w:pStyle w:val="ListBullet"/>
        <w:bidi/>
        <w:spacing w:after="80" w:line="288" w:lineRule="auto"/>
        <w:jc w:val="right"/>
      </w:pPr>
      <w:r>
        <w:rPr>
          <w:rFonts w:ascii="Arial" w:eastAsia="Arial" w:hAnsi="Arial"/>
          <w:b/>
          <w:color w:val="14325A"/>
        </w:rPr>
        <w:t xml:space="preserve">3. الامتثال الزكوي والضريبي (ZATCA &amp; Tax Compliance): </w:t>
      </w:r>
      <w:r>
        <w:rPr>
          <w:rFonts w:ascii="Arial" w:eastAsia="Arial" w:hAnsi="Arial"/>
          <w:color w:val="323232"/>
        </w:rPr>
        <w:t>إعداد وإقرار الضريبة والزكاة بدقة، وتوفير أرشفة رقمية سحابية موثوقة لجميع المستندات لتكون جاهزة للمراجعة والتدقيق القانوني في أي وقت.</w:t>
      </w:r>
    </w:p>
    <w:p w14:paraId="2E6761C5" w14:textId="77777777" w:rsidR="00445C39" w:rsidRDefault="00000000">
      <w:pPr>
        <w:pStyle w:val="ListBullet"/>
        <w:bidi/>
        <w:spacing w:after="80" w:line="288" w:lineRule="auto"/>
        <w:jc w:val="right"/>
      </w:pPr>
      <w:r>
        <w:rPr>
          <w:rFonts w:ascii="Arial" w:eastAsia="Arial" w:hAnsi="Arial"/>
          <w:b/>
          <w:color w:val="14325A"/>
        </w:rPr>
        <w:t xml:space="preserve">4. التحليلات المالية ومؤشرات الأداء (Advanced Analytics &amp; KPIs): </w:t>
      </w:r>
      <w:r>
        <w:rPr>
          <w:rFonts w:ascii="Arial" w:eastAsia="Arial" w:hAnsi="Arial"/>
          <w:color w:val="323232"/>
        </w:rPr>
        <w:t>تحليل ربحية الأنشطة، متابعة ذمم المبيعات والموردين (AR/AP)، تحليل السيولة وإدارة النقدية ومراقبة هامش الأرباح.</w:t>
      </w:r>
    </w:p>
    <w:p w14:paraId="4F1EA027" w14:textId="77777777" w:rsidR="00445C39" w:rsidRDefault="00000000">
      <w:pPr>
        <w:pStyle w:val="ListBullet"/>
        <w:bidi/>
        <w:spacing w:after="80" w:line="288" w:lineRule="auto"/>
        <w:jc w:val="right"/>
      </w:pPr>
      <w:r>
        <w:rPr>
          <w:rFonts w:ascii="Arial" w:eastAsia="Arial" w:hAnsi="Arial"/>
          <w:b/>
          <w:color w:val="14325A"/>
        </w:rPr>
        <w:t xml:space="preserve">5. التكامل والربط البرمجي (Systems Integration): </w:t>
      </w:r>
      <w:r>
        <w:rPr>
          <w:rFonts w:ascii="Arial" w:eastAsia="Arial" w:hAnsi="Arial"/>
          <w:color w:val="323232"/>
        </w:rPr>
        <w:t>ربط وتكامل برمجي سلس مع أنظمة نقاط البيع (POS)، المتاجر الإلكترونية، الحسابات البنكية، والأنظمة الداخلية للعميل لتجميع البيانات تلقائياً دون الحاجة للإدخال اليدوي.</w:t>
      </w:r>
    </w:p>
    <w:p w14:paraId="64F2CCFC" w14:textId="77777777" w:rsidR="00445C39" w:rsidRDefault="00000000">
      <w:pPr>
        <w:pStyle w:val="ListBullet"/>
        <w:bidi/>
        <w:spacing w:after="80" w:line="288" w:lineRule="auto"/>
        <w:jc w:val="right"/>
      </w:pPr>
      <w:r>
        <w:rPr>
          <w:rFonts w:ascii="Arial" w:eastAsia="Arial" w:hAnsi="Arial"/>
          <w:b/>
          <w:color w:val="14325A"/>
        </w:rPr>
        <w:t xml:space="preserve">6. تقارير المستثمرين والتخطيط المالي (Investor-Ready Reporting): </w:t>
      </w:r>
      <w:r>
        <w:rPr>
          <w:rFonts w:ascii="Arial" w:eastAsia="Arial" w:hAnsi="Arial"/>
          <w:color w:val="323232"/>
        </w:rPr>
        <w:t>تقديم ملخصات مالية أسبوعية وشهرية مخصصة للمستثمرين، توضح أداء السيولة، تدفقات النقد، ومعدلات نمو الإيرادات لتعزيز الجاذبية الاستثمارية.</w:t>
      </w:r>
    </w:p>
    <w:p w14:paraId="51AED110" w14:textId="77777777" w:rsidR="00445C39" w:rsidRDefault="00000000">
      <w:pPr>
        <w:pStyle w:val="ListBullet"/>
        <w:bidi/>
        <w:spacing w:after="80" w:line="288" w:lineRule="auto"/>
        <w:jc w:val="right"/>
      </w:pPr>
      <w:r>
        <w:rPr>
          <w:rFonts w:ascii="Arial" w:eastAsia="Arial" w:hAnsi="Arial"/>
          <w:b/>
          <w:color w:val="14325A"/>
        </w:rPr>
        <w:t xml:space="preserve">7. المدير المالي التنفيذي المصغر (Mini CFO &amp; Advisory): </w:t>
      </w:r>
      <w:r>
        <w:rPr>
          <w:rFonts w:ascii="Arial" w:eastAsia="Arial" w:hAnsi="Arial"/>
          <w:color w:val="323232"/>
        </w:rPr>
        <w:t>خدمة المستشار المالي المخصص لتوفير التوجيه الاستراتيجي، إعداد الميزانيات التقديرية، ومراجعة العقود والقرارات المالية المالية الكبرى.</w:t>
      </w:r>
    </w:p>
    <w:p w14:paraId="3A9733C5" w14:textId="77777777" w:rsidR="00445C39" w:rsidRDefault="00000000">
      <w:pPr>
        <w:pStyle w:val="Heading1"/>
        <w:bidi/>
        <w:spacing w:before="240" w:after="120"/>
        <w:jc w:val="right"/>
      </w:pPr>
      <w:r>
        <w:rPr>
          <w:rFonts w:ascii="Arial" w:eastAsia="Arial" w:hAnsi="Arial"/>
          <w:color w:val="1E56A0"/>
          <w:sz w:val="32"/>
        </w:rPr>
        <w:t>4. البنية البرمجية والتصميم والتفاعل (Laravel Architecture &amp; UI/UX)</w:t>
      </w:r>
    </w:p>
    <w:p w14:paraId="55A9E80E" w14:textId="77777777" w:rsidR="00445C39" w:rsidRDefault="00000000">
      <w:pPr>
        <w:bidi/>
        <w:spacing w:after="120" w:line="300" w:lineRule="auto"/>
        <w:jc w:val="right"/>
      </w:pPr>
      <w:r>
        <w:rPr>
          <w:rFonts w:ascii="Arial" w:eastAsia="Arial" w:hAnsi="Arial"/>
          <w:color w:val="323232"/>
        </w:rPr>
        <w:t>تم بناء موقع "دفترك" باستخدام إطار عمل Laravel مع مراعاة أعلى معايير التطوير المعاصر، وتتجلى نقاط التميز البرمجي والفني في الأبعاد التالية:</w:t>
      </w:r>
    </w:p>
    <w:p w14:paraId="7238329B" w14:textId="77777777" w:rsidR="00445C39" w:rsidRDefault="00000000">
      <w:pPr>
        <w:pStyle w:val="ListBullet"/>
        <w:bidi/>
        <w:spacing w:after="80" w:line="288" w:lineRule="auto"/>
        <w:jc w:val="right"/>
      </w:pPr>
      <w:r>
        <w:rPr>
          <w:rFonts w:ascii="Arial" w:eastAsia="Arial" w:hAnsi="Arial"/>
          <w:b/>
          <w:color w:val="14325A"/>
        </w:rPr>
        <w:t xml:space="preserve">• الأداء والأمان (Performance &amp; Security): </w:t>
      </w:r>
      <w:r>
        <w:rPr>
          <w:rFonts w:ascii="Arial" w:eastAsia="Arial" w:hAnsi="Arial"/>
          <w:color w:val="323232"/>
        </w:rPr>
        <w:t>تم استخدام إطار Laravel لتوفير سرعة فائقة في استجابة الصفحات، مع حماية أمنية متكاملة للبيانات المالية وتشفير الجلسات وفق معايير الأمن السيبراني.</w:t>
      </w:r>
    </w:p>
    <w:p w14:paraId="70FA561F" w14:textId="77777777" w:rsidR="00445C39" w:rsidRDefault="00000000">
      <w:pPr>
        <w:pStyle w:val="ListBullet"/>
        <w:bidi/>
        <w:spacing w:after="80" w:line="288" w:lineRule="auto"/>
        <w:jc w:val="right"/>
      </w:pPr>
      <w:r>
        <w:rPr>
          <w:rFonts w:ascii="Arial" w:eastAsia="Arial" w:hAnsi="Arial"/>
          <w:b/>
          <w:color w:val="14325A"/>
        </w:rPr>
        <w:t xml:space="preserve">• تصميم واجهة المستخدم (UI/UX Design): </w:t>
      </w:r>
      <w:r>
        <w:rPr>
          <w:rFonts w:ascii="Arial" w:eastAsia="Arial" w:hAnsi="Arial"/>
          <w:color w:val="323232"/>
        </w:rPr>
        <w:t>واجهة مستخدم متجاوبة بالكامل (Responsive UI) تعمل بكفاءة على الأجهزة المكتبية والجوال، مع الاعتماد على نظام الألوان الحديث والشاشات المريحة للبصر.</w:t>
      </w:r>
    </w:p>
    <w:p w14:paraId="4EC6E02B" w14:textId="77777777" w:rsidR="00445C39" w:rsidRDefault="00000000">
      <w:pPr>
        <w:pStyle w:val="ListBullet"/>
        <w:bidi/>
        <w:spacing w:after="80" w:line="288" w:lineRule="auto"/>
        <w:jc w:val="right"/>
      </w:pPr>
      <w:r>
        <w:rPr>
          <w:rFonts w:ascii="Arial" w:eastAsia="Arial" w:hAnsi="Arial"/>
          <w:b/>
          <w:color w:val="14325A"/>
        </w:rPr>
        <w:t xml:space="preserve">• التعدد اللغوي التكيفي: </w:t>
      </w:r>
      <w:r>
        <w:rPr>
          <w:rFonts w:ascii="Arial" w:eastAsia="Arial" w:hAnsi="Arial"/>
          <w:color w:val="323232"/>
        </w:rPr>
        <w:t>يدعم الموقع التنقل السلس بين اللغة العربية والإنجليزية (Multi-language Support) مع الحفاظ على التناسق البصري واتجاهات النصوص (RTL/LTR).</w:t>
      </w:r>
    </w:p>
    <w:p w14:paraId="3E92A3AB" w14:textId="77777777" w:rsidR="00445C39" w:rsidRDefault="00000000">
      <w:pPr>
        <w:pStyle w:val="ListBullet"/>
        <w:bidi/>
        <w:spacing w:after="80" w:line="288" w:lineRule="auto"/>
        <w:jc w:val="right"/>
      </w:pPr>
      <w:r>
        <w:rPr>
          <w:rFonts w:ascii="Arial" w:eastAsia="Arial" w:hAnsi="Arial"/>
          <w:b/>
          <w:color w:val="14325A"/>
        </w:rPr>
        <w:t xml:space="preserve">• ديناميكية التفاعل بدون إرهاق الخادم: </w:t>
      </w:r>
      <w:r>
        <w:rPr>
          <w:rFonts w:ascii="Arial" w:eastAsia="Arial" w:hAnsi="Arial"/>
          <w:color w:val="323232"/>
        </w:rPr>
        <w:t>استخدام مكونات تفاعلية خفيفة ومباشرة لتقليل تحميل الصفحة، مع ربط النماذج بمعالجات خلفية آمنة للحد من البريد السبام ورسائل الاحتيال.</w:t>
      </w:r>
    </w:p>
    <w:p w14:paraId="1A9DACFE" w14:textId="77777777" w:rsidR="00445C39" w:rsidRDefault="00000000">
      <w:pPr>
        <w:pStyle w:val="Heading1"/>
        <w:bidi/>
        <w:spacing w:before="240" w:after="120"/>
        <w:jc w:val="right"/>
      </w:pPr>
      <w:r>
        <w:rPr>
          <w:rFonts w:ascii="Arial" w:eastAsia="Arial" w:hAnsi="Arial"/>
          <w:color w:val="1E56A0"/>
          <w:sz w:val="32"/>
        </w:rPr>
        <w:t>5. الأدوات التفاعلية المبتكرة بالمنصة</w:t>
      </w:r>
    </w:p>
    <w:p w14:paraId="2E0245E5" w14:textId="77777777" w:rsidR="00445C39" w:rsidRDefault="00000000">
      <w:pPr>
        <w:bidi/>
        <w:spacing w:after="120" w:line="300" w:lineRule="auto"/>
        <w:jc w:val="right"/>
      </w:pPr>
      <w:r>
        <w:rPr>
          <w:rFonts w:ascii="Arial" w:eastAsia="Arial" w:hAnsi="Arial"/>
          <w:color w:val="323232"/>
        </w:rPr>
        <w:t>يتضمن الموقع أداتين نوعيتين ترفعان من معدل تحويل الزوار إلى عملاء فعليين (Lead Conversion Engine):</w:t>
      </w:r>
    </w:p>
    <w:p w14:paraId="28402FD2" w14:textId="77777777" w:rsidR="00445C39" w:rsidRDefault="00000000">
      <w:pPr>
        <w:pStyle w:val="Heading2"/>
        <w:bidi/>
        <w:spacing w:before="240" w:after="120"/>
        <w:jc w:val="right"/>
      </w:pPr>
      <w:r>
        <w:rPr>
          <w:rFonts w:ascii="Arial" w:eastAsia="Arial" w:hAnsi="Arial"/>
          <w:color w:val="283C5A"/>
          <w:sz w:val="28"/>
        </w:rPr>
        <w:lastRenderedPageBreak/>
        <w:t>أولاً: حاسبة الباقات الذكية (Smart Package Finder)</w:t>
      </w:r>
    </w:p>
    <w:p w14:paraId="417745A9" w14:textId="77777777" w:rsidR="00445C39" w:rsidRDefault="00000000">
      <w:pPr>
        <w:bidi/>
        <w:spacing w:after="120" w:line="300" w:lineRule="auto"/>
        <w:jc w:val="right"/>
      </w:pPr>
      <w:r>
        <w:rPr>
          <w:rFonts w:ascii="Arial" w:eastAsia="Arial" w:hAnsi="Arial"/>
          <w:color w:val="323232"/>
        </w:rPr>
        <w:t>عبارة عن معالج تفاعلي (Wizard) يتكون من 3 خطوات سريعة، يطلب من العميل إدخال حجم الشركة، عدد المعاملات المحاسبية الشهرية، والخدمات المطلوبة. وتقوم الحاسبة آلياً بـ:</w:t>
      </w:r>
    </w:p>
    <w:p w14:paraId="17B82AFB" w14:textId="77777777" w:rsidR="00445C39" w:rsidRDefault="00000000">
      <w:pPr>
        <w:pStyle w:val="ListBullet"/>
        <w:bidi/>
        <w:spacing w:after="80" w:line="288" w:lineRule="auto"/>
        <w:jc w:val="right"/>
      </w:pPr>
      <w:r>
        <w:rPr>
          <w:rFonts w:ascii="Arial" w:eastAsia="Arial" w:hAnsi="Arial"/>
          <w:color w:val="323232"/>
        </w:rPr>
        <w:t>حساب معدل الكفاءة المتوقع (Efficiency Gain %).</w:t>
      </w:r>
    </w:p>
    <w:p w14:paraId="0F5596B5" w14:textId="77777777" w:rsidR="00445C39" w:rsidRDefault="00000000">
      <w:pPr>
        <w:pStyle w:val="ListBullet"/>
        <w:bidi/>
        <w:spacing w:after="80" w:line="288" w:lineRule="auto"/>
        <w:jc w:val="right"/>
      </w:pPr>
      <w:r>
        <w:rPr>
          <w:rFonts w:ascii="Arial" w:eastAsia="Arial" w:hAnsi="Arial"/>
          <w:color w:val="323232"/>
        </w:rPr>
        <w:t>تقدير العائد على الاستثمار خلال 6 أشهر (Projected ROI).</w:t>
      </w:r>
    </w:p>
    <w:p w14:paraId="61836815" w14:textId="77777777" w:rsidR="00445C39" w:rsidRDefault="00000000">
      <w:pPr>
        <w:pStyle w:val="ListBullet"/>
        <w:bidi/>
        <w:spacing w:after="80" w:line="288" w:lineRule="auto"/>
        <w:jc w:val="right"/>
      </w:pPr>
      <w:r>
        <w:rPr>
          <w:rFonts w:ascii="Arial" w:eastAsia="Arial" w:hAnsi="Arial"/>
          <w:color w:val="323232"/>
        </w:rPr>
        <w:t>حساب عدد الساعات الموفرة شهرياً لفريق العمل.</w:t>
      </w:r>
    </w:p>
    <w:p w14:paraId="093CCEAA" w14:textId="77777777" w:rsidR="00445C39" w:rsidRDefault="00000000">
      <w:pPr>
        <w:pStyle w:val="ListBullet"/>
        <w:bidi/>
        <w:spacing w:after="80" w:line="288" w:lineRule="auto"/>
        <w:jc w:val="right"/>
      </w:pPr>
      <w:r>
        <w:rPr>
          <w:rFonts w:ascii="Arial" w:eastAsia="Arial" w:hAnsi="Arial"/>
          <w:color w:val="323232"/>
        </w:rPr>
        <w:t>توصية العميل بالباقة الأمثل لاحتياجاته بدقة مع إمكانية حفظ النتيجة PDF أو مشاركتها عبر واتساب.</w:t>
      </w:r>
    </w:p>
    <w:p w14:paraId="7CD10BD9" w14:textId="77777777" w:rsidR="00445C39" w:rsidRDefault="00000000">
      <w:pPr>
        <w:pStyle w:val="Heading2"/>
        <w:bidi/>
        <w:spacing w:before="240" w:after="120"/>
        <w:jc w:val="right"/>
      </w:pPr>
      <w:r>
        <w:rPr>
          <w:rFonts w:ascii="Arial" w:eastAsia="Arial" w:hAnsi="Arial"/>
          <w:color w:val="283C5A"/>
          <w:sz w:val="28"/>
        </w:rPr>
        <w:t>ثانياً: مساعد دفترك الذكي (Dafatrak Assistant - AI Copilot)</w:t>
      </w:r>
    </w:p>
    <w:p w14:paraId="7AC07798" w14:textId="77777777" w:rsidR="00445C39" w:rsidRDefault="00000000">
      <w:pPr>
        <w:bidi/>
        <w:spacing w:after="120" w:line="300" w:lineRule="auto"/>
        <w:jc w:val="right"/>
      </w:pPr>
      <w:r>
        <w:rPr>
          <w:rFonts w:ascii="Arial" w:eastAsia="Arial" w:hAnsi="Arial"/>
          <w:color w:val="323232"/>
        </w:rPr>
        <w:t>مساعد آلي مدعوم بالذكاء الاصطناعي مدمج في الواجهة، يستجيب لاستفسارات الزوار الفورية حول الباقات، الاستشارات المالية، الامتثال الضريبي، وخطوات الانضمام، مما يمنح التجربة طابعاً عصرياً وتفاعلياً فريداً.</w:t>
      </w:r>
    </w:p>
    <w:p w14:paraId="44B8F47C" w14:textId="77777777" w:rsidR="00445C39" w:rsidRDefault="00000000">
      <w:pPr>
        <w:pStyle w:val="Heading1"/>
        <w:bidi/>
        <w:spacing w:before="240" w:after="120"/>
        <w:jc w:val="right"/>
      </w:pPr>
      <w:r>
        <w:rPr>
          <w:rFonts w:ascii="Arial" w:eastAsia="Arial" w:hAnsi="Arial"/>
          <w:color w:val="1E56A0"/>
          <w:sz w:val="32"/>
        </w:rPr>
        <w:t>6. باقات الاشتراك والهيكل السعري</w:t>
      </w:r>
    </w:p>
    <w:p w14:paraId="0688130A" w14:textId="77777777" w:rsidR="00445C39" w:rsidRDefault="00000000">
      <w:pPr>
        <w:bidi/>
        <w:spacing w:after="120" w:line="300" w:lineRule="auto"/>
        <w:jc w:val="right"/>
      </w:pPr>
      <w:r>
        <w:rPr>
          <w:rFonts w:ascii="Arial" w:eastAsia="Arial" w:hAnsi="Arial"/>
          <w:color w:val="323232"/>
        </w:rPr>
        <w:t>يعتمد الموقع على نموذج تسعير واضح وشفاف مقسم حسب حجم المصروفات الشهرية ونطاق الأعمال، مع تقديم خصومات تشجيعية (10% للاشتراك النصف سنوي و20% للاشتراك السنوي):</w:t>
      </w:r>
    </w:p>
    <w:tbl>
      <w:tblPr>
        <w:tblW w:w="0" w:type="auto"/>
        <w:jc w:val="center"/>
        <w:tblLayout w:type="fixed"/>
        <w:tblLook w:val="04A0" w:firstRow="1" w:lastRow="0" w:firstColumn="1" w:lastColumn="0" w:noHBand="0" w:noVBand="1"/>
      </w:tblPr>
      <w:tblGrid>
        <w:gridCol w:w="2340"/>
        <w:gridCol w:w="2340"/>
        <w:gridCol w:w="2340"/>
        <w:gridCol w:w="2340"/>
      </w:tblGrid>
      <w:tr w:rsidR="00445C39" w14:paraId="614AAAF8" w14:textId="77777777">
        <w:trPr>
          <w:jc w:val="center"/>
        </w:trPr>
        <w:tc>
          <w:tcPr>
            <w:tcW w:w="2340" w:type="dxa"/>
            <w:shd w:val="clear" w:color="auto" w:fill="1E56A0"/>
            <w:tcMar>
              <w:top w:w="120" w:type="dxa"/>
              <w:left w:w="150" w:type="dxa"/>
              <w:bottom w:w="120" w:type="dxa"/>
              <w:right w:w="150" w:type="dxa"/>
            </w:tcMar>
          </w:tcPr>
          <w:p w14:paraId="2D4F1FE1" w14:textId="77777777" w:rsidR="00445C39" w:rsidRDefault="00000000">
            <w:pPr>
              <w:bidi/>
              <w:jc w:val="right"/>
            </w:pPr>
            <w:r>
              <w:rPr>
                <w:rFonts w:ascii="Arial" w:eastAsia="Arial" w:hAnsi="Arial"/>
                <w:b/>
                <w:color w:val="FFFFFF"/>
                <w:sz w:val="20"/>
              </w:rPr>
              <w:t>أبرز المزايا والخدمات</w:t>
            </w:r>
          </w:p>
        </w:tc>
        <w:tc>
          <w:tcPr>
            <w:tcW w:w="2340" w:type="dxa"/>
            <w:shd w:val="clear" w:color="auto" w:fill="1E56A0"/>
            <w:tcMar>
              <w:top w:w="120" w:type="dxa"/>
              <w:left w:w="150" w:type="dxa"/>
              <w:bottom w:w="120" w:type="dxa"/>
              <w:right w:w="150" w:type="dxa"/>
            </w:tcMar>
          </w:tcPr>
          <w:p w14:paraId="4F86CBE3" w14:textId="77777777" w:rsidR="00445C39" w:rsidRDefault="00000000">
            <w:pPr>
              <w:bidi/>
              <w:jc w:val="right"/>
            </w:pPr>
            <w:r>
              <w:rPr>
                <w:rFonts w:ascii="Arial" w:eastAsia="Arial" w:hAnsi="Arial"/>
                <w:b/>
                <w:color w:val="FFFFFF"/>
                <w:sz w:val="20"/>
              </w:rPr>
              <w:t>السعر الشهري (SAR)</w:t>
            </w:r>
          </w:p>
        </w:tc>
        <w:tc>
          <w:tcPr>
            <w:tcW w:w="2340" w:type="dxa"/>
            <w:shd w:val="clear" w:color="auto" w:fill="1E56A0"/>
            <w:tcMar>
              <w:top w:w="120" w:type="dxa"/>
              <w:left w:w="150" w:type="dxa"/>
              <w:bottom w:w="120" w:type="dxa"/>
              <w:right w:w="150" w:type="dxa"/>
            </w:tcMar>
          </w:tcPr>
          <w:p w14:paraId="01489272" w14:textId="77777777" w:rsidR="00445C39" w:rsidRDefault="00000000">
            <w:pPr>
              <w:bidi/>
              <w:jc w:val="right"/>
            </w:pPr>
            <w:r>
              <w:rPr>
                <w:rFonts w:ascii="Arial" w:eastAsia="Arial" w:hAnsi="Arial"/>
                <w:b/>
                <w:color w:val="FFFFFF"/>
                <w:sz w:val="20"/>
              </w:rPr>
              <w:t>نطاق المصروفات الشهرية</w:t>
            </w:r>
          </w:p>
        </w:tc>
        <w:tc>
          <w:tcPr>
            <w:tcW w:w="2340" w:type="dxa"/>
            <w:shd w:val="clear" w:color="auto" w:fill="1E56A0"/>
            <w:tcMar>
              <w:top w:w="120" w:type="dxa"/>
              <w:left w:w="150" w:type="dxa"/>
              <w:bottom w:w="120" w:type="dxa"/>
              <w:right w:w="150" w:type="dxa"/>
            </w:tcMar>
          </w:tcPr>
          <w:p w14:paraId="5826BDC2" w14:textId="77777777" w:rsidR="00445C39" w:rsidRDefault="00000000">
            <w:pPr>
              <w:bidi/>
              <w:jc w:val="right"/>
            </w:pPr>
            <w:r>
              <w:rPr>
                <w:rFonts w:ascii="Arial" w:eastAsia="Arial" w:hAnsi="Arial"/>
                <w:b/>
                <w:color w:val="FFFFFF"/>
                <w:sz w:val="20"/>
              </w:rPr>
              <w:t>اسم الباقة</w:t>
            </w:r>
          </w:p>
        </w:tc>
      </w:tr>
      <w:tr w:rsidR="00445C39" w14:paraId="74AFEC69" w14:textId="77777777">
        <w:trPr>
          <w:jc w:val="center"/>
        </w:trPr>
        <w:tc>
          <w:tcPr>
            <w:tcW w:w="2340" w:type="dxa"/>
            <w:shd w:val="clear" w:color="auto" w:fill="F9FAFC"/>
            <w:tcMar>
              <w:top w:w="100" w:type="dxa"/>
              <w:left w:w="150" w:type="dxa"/>
              <w:bottom w:w="100" w:type="dxa"/>
              <w:right w:w="150" w:type="dxa"/>
            </w:tcMar>
          </w:tcPr>
          <w:p w14:paraId="088DDC31" w14:textId="77777777" w:rsidR="00445C39" w:rsidRDefault="00000000">
            <w:pPr>
              <w:bidi/>
              <w:jc w:val="right"/>
            </w:pPr>
            <w:r>
              <w:rPr>
                <w:rFonts w:ascii="Arial" w:eastAsia="Arial" w:hAnsi="Arial"/>
                <w:color w:val="282828"/>
                <w:sz w:val="19"/>
              </w:rPr>
              <w:t>شجرة الحسابات، تسجيل المعاملات، مطابقة البنوك، الإقرار الضريبي، ساعتان استشارة.</w:t>
            </w:r>
          </w:p>
        </w:tc>
        <w:tc>
          <w:tcPr>
            <w:tcW w:w="2340" w:type="dxa"/>
            <w:shd w:val="clear" w:color="auto" w:fill="F9FAFC"/>
            <w:tcMar>
              <w:top w:w="100" w:type="dxa"/>
              <w:left w:w="150" w:type="dxa"/>
              <w:bottom w:w="100" w:type="dxa"/>
              <w:right w:w="150" w:type="dxa"/>
            </w:tcMar>
          </w:tcPr>
          <w:p w14:paraId="4544ED16" w14:textId="77777777" w:rsidR="00445C39" w:rsidRDefault="00000000">
            <w:pPr>
              <w:bidi/>
              <w:jc w:val="right"/>
            </w:pPr>
            <w:r>
              <w:rPr>
                <w:rFonts w:ascii="Arial" w:eastAsia="Arial" w:hAnsi="Arial"/>
                <w:color w:val="282828"/>
                <w:sz w:val="19"/>
              </w:rPr>
              <w:t>1,600 ريال</w:t>
            </w:r>
          </w:p>
        </w:tc>
        <w:tc>
          <w:tcPr>
            <w:tcW w:w="2340" w:type="dxa"/>
            <w:shd w:val="clear" w:color="auto" w:fill="F9FAFC"/>
            <w:tcMar>
              <w:top w:w="100" w:type="dxa"/>
              <w:left w:w="150" w:type="dxa"/>
              <w:bottom w:w="100" w:type="dxa"/>
              <w:right w:w="150" w:type="dxa"/>
            </w:tcMar>
          </w:tcPr>
          <w:p w14:paraId="0048420F" w14:textId="77777777" w:rsidR="00445C39" w:rsidRDefault="00000000">
            <w:pPr>
              <w:bidi/>
              <w:jc w:val="right"/>
            </w:pPr>
            <w:r>
              <w:rPr>
                <w:rFonts w:ascii="Arial" w:eastAsia="Arial" w:hAnsi="Arial"/>
                <w:color w:val="282828"/>
                <w:sz w:val="19"/>
              </w:rPr>
              <w:t>حتى 50,000 ريال</w:t>
            </w:r>
          </w:p>
        </w:tc>
        <w:tc>
          <w:tcPr>
            <w:tcW w:w="2340" w:type="dxa"/>
            <w:shd w:val="clear" w:color="auto" w:fill="F9FAFC"/>
            <w:tcMar>
              <w:top w:w="100" w:type="dxa"/>
              <w:left w:w="150" w:type="dxa"/>
              <w:bottom w:w="100" w:type="dxa"/>
              <w:right w:w="150" w:type="dxa"/>
            </w:tcMar>
          </w:tcPr>
          <w:p w14:paraId="6F1ADD7D" w14:textId="77777777" w:rsidR="00445C39" w:rsidRDefault="00000000">
            <w:pPr>
              <w:bidi/>
              <w:jc w:val="right"/>
            </w:pPr>
            <w:r>
              <w:rPr>
                <w:rFonts w:ascii="Arial" w:eastAsia="Arial" w:hAnsi="Arial"/>
                <w:b/>
                <w:color w:val="282828"/>
                <w:sz w:val="19"/>
              </w:rPr>
              <w:t>دفترك بداية (Start)</w:t>
            </w:r>
          </w:p>
        </w:tc>
      </w:tr>
      <w:tr w:rsidR="00445C39" w14:paraId="4A50F29F" w14:textId="77777777">
        <w:trPr>
          <w:jc w:val="center"/>
        </w:trPr>
        <w:tc>
          <w:tcPr>
            <w:tcW w:w="2340" w:type="dxa"/>
            <w:shd w:val="clear" w:color="auto" w:fill="FFFFFF"/>
            <w:tcMar>
              <w:top w:w="100" w:type="dxa"/>
              <w:left w:w="150" w:type="dxa"/>
              <w:bottom w:w="100" w:type="dxa"/>
              <w:right w:w="150" w:type="dxa"/>
            </w:tcMar>
          </w:tcPr>
          <w:p w14:paraId="1C0D64DE" w14:textId="77777777" w:rsidR="00445C39" w:rsidRDefault="00000000">
            <w:pPr>
              <w:bidi/>
              <w:jc w:val="right"/>
            </w:pPr>
            <w:r>
              <w:rPr>
                <w:rFonts w:ascii="Arial" w:eastAsia="Arial" w:hAnsi="Arial"/>
                <w:color w:val="282828"/>
                <w:sz w:val="19"/>
              </w:rPr>
              <w:t>جميع مزايا بداية + القوائم المالية الكاملة، تحليل الربحية والذمم، 4 ساعات استشارة.</w:t>
            </w:r>
          </w:p>
        </w:tc>
        <w:tc>
          <w:tcPr>
            <w:tcW w:w="2340" w:type="dxa"/>
            <w:shd w:val="clear" w:color="auto" w:fill="FFFFFF"/>
            <w:tcMar>
              <w:top w:w="100" w:type="dxa"/>
              <w:left w:w="150" w:type="dxa"/>
              <w:bottom w:w="100" w:type="dxa"/>
              <w:right w:w="150" w:type="dxa"/>
            </w:tcMar>
          </w:tcPr>
          <w:p w14:paraId="48E361B4" w14:textId="77777777" w:rsidR="00445C39" w:rsidRDefault="00000000">
            <w:pPr>
              <w:bidi/>
              <w:jc w:val="right"/>
            </w:pPr>
            <w:r>
              <w:rPr>
                <w:rFonts w:ascii="Arial" w:eastAsia="Arial" w:hAnsi="Arial"/>
                <w:color w:val="282828"/>
                <w:sz w:val="19"/>
              </w:rPr>
              <w:t>2,900 ريال</w:t>
            </w:r>
          </w:p>
        </w:tc>
        <w:tc>
          <w:tcPr>
            <w:tcW w:w="2340" w:type="dxa"/>
            <w:shd w:val="clear" w:color="auto" w:fill="FFFFFF"/>
            <w:tcMar>
              <w:top w:w="100" w:type="dxa"/>
              <w:left w:w="150" w:type="dxa"/>
              <w:bottom w:w="100" w:type="dxa"/>
              <w:right w:w="150" w:type="dxa"/>
            </w:tcMar>
          </w:tcPr>
          <w:p w14:paraId="5628140D" w14:textId="77777777" w:rsidR="00445C39" w:rsidRDefault="00000000">
            <w:pPr>
              <w:bidi/>
              <w:jc w:val="right"/>
            </w:pPr>
            <w:r>
              <w:rPr>
                <w:rFonts w:ascii="Arial" w:eastAsia="Arial" w:hAnsi="Arial"/>
                <w:color w:val="282828"/>
                <w:sz w:val="19"/>
              </w:rPr>
              <w:t>50,000 - 150,000 ريال</w:t>
            </w:r>
          </w:p>
        </w:tc>
        <w:tc>
          <w:tcPr>
            <w:tcW w:w="2340" w:type="dxa"/>
            <w:shd w:val="clear" w:color="auto" w:fill="FFFFFF"/>
            <w:tcMar>
              <w:top w:w="100" w:type="dxa"/>
              <w:left w:w="150" w:type="dxa"/>
              <w:bottom w:w="100" w:type="dxa"/>
              <w:right w:w="150" w:type="dxa"/>
            </w:tcMar>
          </w:tcPr>
          <w:p w14:paraId="5A961282" w14:textId="77777777" w:rsidR="00445C39" w:rsidRDefault="00000000">
            <w:pPr>
              <w:bidi/>
              <w:jc w:val="right"/>
            </w:pPr>
            <w:r>
              <w:rPr>
                <w:rFonts w:ascii="Arial" w:eastAsia="Arial" w:hAnsi="Arial"/>
                <w:b/>
                <w:color w:val="282828"/>
                <w:sz w:val="19"/>
              </w:rPr>
              <w:t>دفترك نمو (Growth)</w:t>
            </w:r>
          </w:p>
        </w:tc>
      </w:tr>
      <w:tr w:rsidR="00445C39" w14:paraId="4CDB2A53" w14:textId="77777777">
        <w:trPr>
          <w:jc w:val="center"/>
        </w:trPr>
        <w:tc>
          <w:tcPr>
            <w:tcW w:w="2340" w:type="dxa"/>
            <w:shd w:val="clear" w:color="auto" w:fill="F9FAFC"/>
            <w:tcMar>
              <w:top w:w="100" w:type="dxa"/>
              <w:left w:w="150" w:type="dxa"/>
              <w:bottom w:w="100" w:type="dxa"/>
              <w:right w:w="150" w:type="dxa"/>
            </w:tcMar>
          </w:tcPr>
          <w:p w14:paraId="1E789F19" w14:textId="77777777" w:rsidR="00445C39" w:rsidRDefault="00000000">
            <w:pPr>
              <w:bidi/>
              <w:jc w:val="right"/>
            </w:pPr>
            <w:r>
              <w:rPr>
                <w:rFonts w:ascii="Arial" w:eastAsia="Arial" w:hAnsi="Arial"/>
                <w:color w:val="282828"/>
                <w:sz w:val="19"/>
              </w:rPr>
              <w:t>جميع مزايا نمو + تحليل السيولة، مؤشرات KPIs، التخطيط المالي، 6 ساعات استشارة.</w:t>
            </w:r>
          </w:p>
        </w:tc>
        <w:tc>
          <w:tcPr>
            <w:tcW w:w="2340" w:type="dxa"/>
            <w:shd w:val="clear" w:color="auto" w:fill="F9FAFC"/>
            <w:tcMar>
              <w:top w:w="100" w:type="dxa"/>
              <w:left w:w="150" w:type="dxa"/>
              <w:bottom w:w="100" w:type="dxa"/>
              <w:right w:w="150" w:type="dxa"/>
            </w:tcMar>
          </w:tcPr>
          <w:p w14:paraId="147C33B0" w14:textId="77777777" w:rsidR="00445C39" w:rsidRDefault="00000000">
            <w:pPr>
              <w:bidi/>
              <w:jc w:val="right"/>
            </w:pPr>
            <w:r>
              <w:rPr>
                <w:rFonts w:ascii="Arial" w:eastAsia="Arial" w:hAnsi="Arial"/>
                <w:color w:val="282828"/>
                <w:sz w:val="19"/>
              </w:rPr>
              <w:t>4,500 ريال</w:t>
            </w:r>
          </w:p>
        </w:tc>
        <w:tc>
          <w:tcPr>
            <w:tcW w:w="2340" w:type="dxa"/>
            <w:shd w:val="clear" w:color="auto" w:fill="F9FAFC"/>
            <w:tcMar>
              <w:top w:w="100" w:type="dxa"/>
              <w:left w:w="150" w:type="dxa"/>
              <w:bottom w:w="100" w:type="dxa"/>
              <w:right w:w="150" w:type="dxa"/>
            </w:tcMar>
          </w:tcPr>
          <w:p w14:paraId="7BD7A3DA" w14:textId="77777777" w:rsidR="00445C39" w:rsidRDefault="00000000">
            <w:pPr>
              <w:bidi/>
              <w:jc w:val="right"/>
            </w:pPr>
            <w:r>
              <w:rPr>
                <w:rFonts w:ascii="Arial" w:eastAsia="Arial" w:hAnsi="Arial"/>
                <w:color w:val="282828"/>
                <w:sz w:val="19"/>
              </w:rPr>
              <w:t>150,000 - 400,000 ريال</w:t>
            </w:r>
          </w:p>
        </w:tc>
        <w:tc>
          <w:tcPr>
            <w:tcW w:w="2340" w:type="dxa"/>
            <w:shd w:val="clear" w:color="auto" w:fill="F9FAFC"/>
            <w:tcMar>
              <w:top w:w="100" w:type="dxa"/>
              <w:left w:w="150" w:type="dxa"/>
              <w:bottom w:w="100" w:type="dxa"/>
              <w:right w:w="150" w:type="dxa"/>
            </w:tcMar>
          </w:tcPr>
          <w:p w14:paraId="1AB5D5E3" w14:textId="77777777" w:rsidR="00445C39" w:rsidRDefault="00000000">
            <w:pPr>
              <w:bidi/>
              <w:jc w:val="right"/>
            </w:pPr>
            <w:r>
              <w:rPr>
                <w:rFonts w:ascii="Arial" w:eastAsia="Arial" w:hAnsi="Arial"/>
                <w:b/>
                <w:color w:val="282828"/>
                <w:sz w:val="19"/>
              </w:rPr>
              <w:t>دفترك أعمال (Business)</w:t>
            </w:r>
          </w:p>
        </w:tc>
      </w:tr>
      <w:tr w:rsidR="00445C39" w14:paraId="2BFDAA6A" w14:textId="77777777">
        <w:trPr>
          <w:jc w:val="center"/>
        </w:trPr>
        <w:tc>
          <w:tcPr>
            <w:tcW w:w="2340" w:type="dxa"/>
            <w:shd w:val="clear" w:color="auto" w:fill="FFFFFF"/>
            <w:tcMar>
              <w:top w:w="100" w:type="dxa"/>
              <w:left w:w="150" w:type="dxa"/>
              <w:bottom w:w="100" w:type="dxa"/>
              <w:right w:w="150" w:type="dxa"/>
            </w:tcMar>
          </w:tcPr>
          <w:p w14:paraId="0EF38939" w14:textId="77777777" w:rsidR="00445C39" w:rsidRDefault="00000000">
            <w:pPr>
              <w:bidi/>
              <w:jc w:val="right"/>
            </w:pPr>
            <w:r>
              <w:rPr>
                <w:rFonts w:ascii="Arial" w:eastAsia="Arial" w:hAnsi="Arial"/>
                <w:color w:val="282828"/>
                <w:sz w:val="19"/>
              </w:rPr>
              <w:t>خدمة CFO كاملة، الموازنات التقديرية، التنبؤ بالتدفقات، مراجعة العقود، 10 ساعات استشارة.</w:t>
            </w:r>
          </w:p>
        </w:tc>
        <w:tc>
          <w:tcPr>
            <w:tcW w:w="2340" w:type="dxa"/>
            <w:shd w:val="clear" w:color="auto" w:fill="FFFFFF"/>
            <w:tcMar>
              <w:top w:w="100" w:type="dxa"/>
              <w:left w:w="150" w:type="dxa"/>
              <w:bottom w:w="100" w:type="dxa"/>
              <w:right w:w="150" w:type="dxa"/>
            </w:tcMar>
          </w:tcPr>
          <w:p w14:paraId="2FE405BB" w14:textId="77777777" w:rsidR="00445C39" w:rsidRDefault="00000000">
            <w:pPr>
              <w:bidi/>
              <w:jc w:val="right"/>
            </w:pPr>
            <w:r>
              <w:rPr>
                <w:rFonts w:ascii="Arial" w:eastAsia="Arial" w:hAnsi="Arial"/>
                <w:color w:val="282828"/>
                <w:sz w:val="19"/>
              </w:rPr>
              <w:t>7,500 ريال</w:t>
            </w:r>
          </w:p>
        </w:tc>
        <w:tc>
          <w:tcPr>
            <w:tcW w:w="2340" w:type="dxa"/>
            <w:shd w:val="clear" w:color="auto" w:fill="FFFFFF"/>
            <w:tcMar>
              <w:top w:w="100" w:type="dxa"/>
              <w:left w:w="150" w:type="dxa"/>
              <w:bottom w:w="100" w:type="dxa"/>
              <w:right w:w="150" w:type="dxa"/>
            </w:tcMar>
          </w:tcPr>
          <w:p w14:paraId="59BCAF59" w14:textId="77777777" w:rsidR="00445C39" w:rsidRDefault="00000000">
            <w:pPr>
              <w:bidi/>
              <w:jc w:val="right"/>
            </w:pPr>
            <w:r>
              <w:rPr>
                <w:rFonts w:ascii="Arial" w:eastAsia="Arial" w:hAnsi="Arial"/>
                <w:color w:val="282828"/>
                <w:sz w:val="19"/>
              </w:rPr>
              <w:t>أكثر من 400,000 ريال</w:t>
            </w:r>
          </w:p>
        </w:tc>
        <w:tc>
          <w:tcPr>
            <w:tcW w:w="2340" w:type="dxa"/>
            <w:shd w:val="clear" w:color="auto" w:fill="FFFFFF"/>
            <w:tcMar>
              <w:top w:w="100" w:type="dxa"/>
              <w:left w:w="150" w:type="dxa"/>
              <w:bottom w:w="100" w:type="dxa"/>
              <w:right w:w="150" w:type="dxa"/>
            </w:tcMar>
          </w:tcPr>
          <w:p w14:paraId="369FD00F" w14:textId="77777777" w:rsidR="00445C39" w:rsidRDefault="00000000">
            <w:pPr>
              <w:bidi/>
              <w:jc w:val="right"/>
            </w:pPr>
            <w:r>
              <w:rPr>
                <w:rFonts w:ascii="Arial" w:eastAsia="Arial" w:hAnsi="Arial"/>
                <w:b/>
                <w:color w:val="282828"/>
                <w:sz w:val="19"/>
              </w:rPr>
              <w:t>المدير المالي (Mini CFO)</w:t>
            </w:r>
          </w:p>
        </w:tc>
      </w:tr>
    </w:tbl>
    <w:p w14:paraId="3D7F6B9E" w14:textId="77777777" w:rsidR="00445C39" w:rsidRDefault="00445C39"/>
    <w:p w14:paraId="5C504E55" w14:textId="77777777" w:rsidR="00445C39" w:rsidRDefault="00000000">
      <w:pPr>
        <w:pStyle w:val="Heading1"/>
        <w:bidi/>
        <w:spacing w:before="240" w:after="120"/>
        <w:jc w:val="right"/>
      </w:pPr>
      <w:r>
        <w:rPr>
          <w:rFonts w:ascii="Arial" w:eastAsia="Arial" w:hAnsi="Arial"/>
          <w:color w:val="1E56A0"/>
          <w:sz w:val="32"/>
        </w:rPr>
        <w:t>7. نقاط القوة والأفضلية التنافسية بموقع دفترك</w:t>
      </w:r>
    </w:p>
    <w:p w14:paraId="0FDA0D17" w14:textId="77777777" w:rsidR="00445C39" w:rsidRDefault="00000000">
      <w:pPr>
        <w:bidi/>
        <w:spacing w:after="120" w:line="300" w:lineRule="auto"/>
        <w:jc w:val="right"/>
      </w:pPr>
      <w:r>
        <w:rPr>
          <w:rFonts w:ascii="Arial" w:eastAsia="Arial" w:hAnsi="Arial"/>
          <w:color w:val="323232"/>
        </w:rPr>
        <w:t>يتمتع الموقع والمشروع بعدة نقاط قوة تجعله نموذجاً يستحق الدراسة والاستفادة منه في مشاريعنا التقنية:</w:t>
      </w:r>
    </w:p>
    <w:p w14:paraId="3B34E8A6" w14:textId="77777777" w:rsidR="00445C39" w:rsidRDefault="00000000">
      <w:pPr>
        <w:pStyle w:val="ListBullet"/>
        <w:bidi/>
        <w:spacing w:after="80" w:line="288" w:lineRule="auto"/>
        <w:jc w:val="right"/>
      </w:pPr>
      <w:r>
        <w:rPr>
          <w:rFonts w:ascii="Arial" w:eastAsia="Arial" w:hAnsi="Arial"/>
          <w:b/>
          <w:color w:val="14325A"/>
        </w:rPr>
        <w:lastRenderedPageBreak/>
        <w:t xml:space="preserve">1. التوطين الكامل والتوافق التنظيمي: </w:t>
      </w:r>
      <w:r>
        <w:rPr>
          <w:rFonts w:ascii="Arial" w:eastAsia="Arial" w:hAnsi="Arial"/>
          <w:color w:val="323232"/>
        </w:rPr>
        <w:t>الربط التام والامتثال للأنظمة المحلية والضريبية بالسعودية (ZATCA, VAT, Zakat, SOCPA, IFRS).</w:t>
      </w:r>
    </w:p>
    <w:p w14:paraId="77CDF21B" w14:textId="77777777" w:rsidR="00445C39" w:rsidRDefault="00000000">
      <w:pPr>
        <w:pStyle w:val="ListBullet"/>
        <w:bidi/>
        <w:spacing w:after="80" w:line="288" w:lineRule="auto"/>
        <w:jc w:val="right"/>
      </w:pPr>
      <w:r>
        <w:rPr>
          <w:rFonts w:ascii="Arial" w:eastAsia="Arial" w:hAnsi="Arial"/>
          <w:b/>
          <w:color w:val="14325A"/>
        </w:rPr>
        <w:t xml:space="preserve">2. قمع تحويل العملاء الذكي (Conversion Funnel): </w:t>
      </w:r>
      <w:r>
        <w:rPr>
          <w:rFonts w:ascii="Arial" w:eastAsia="Arial" w:hAnsi="Arial"/>
          <w:color w:val="323232"/>
        </w:rPr>
        <w:t>وجود حاسبة الباقات التفاعلية مع شات الذكاء الاصطناعي يزيد من معدل بقاء الزائر وتحويله لعميل محتمل.</w:t>
      </w:r>
    </w:p>
    <w:p w14:paraId="32CDF2CA" w14:textId="77777777" w:rsidR="00445C39" w:rsidRDefault="00000000">
      <w:pPr>
        <w:pStyle w:val="ListBullet"/>
        <w:bidi/>
        <w:spacing w:after="80" w:line="288" w:lineRule="auto"/>
        <w:jc w:val="right"/>
      </w:pPr>
      <w:r>
        <w:rPr>
          <w:rFonts w:ascii="Arial" w:eastAsia="Arial" w:hAnsi="Arial"/>
          <w:b/>
          <w:color w:val="14325A"/>
        </w:rPr>
        <w:t xml:space="preserve">3. بناء الثقة والإثبات الاجتماعي (Social Proof): </w:t>
      </w:r>
      <w:r>
        <w:rPr>
          <w:rFonts w:ascii="Arial" w:eastAsia="Arial" w:hAnsi="Arial"/>
          <w:color w:val="323232"/>
        </w:rPr>
        <w:t>توفير أرقام ومؤشرات ثقة واضحة للزائر (350+ عميل، +12 مليون معاملة، 99.7% نسبة الدقة).</w:t>
      </w:r>
    </w:p>
    <w:p w14:paraId="21E80853" w14:textId="77777777" w:rsidR="00445C39" w:rsidRDefault="00000000">
      <w:pPr>
        <w:pStyle w:val="ListBullet"/>
        <w:bidi/>
        <w:spacing w:after="80" w:line="288" w:lineRule="auto"/>
        <w:jc w:val="right"/>
      </w:pPr>
      <w:r>
        <w:rPr>
          <w:rFonts w:ascii="Arial" w:eastAsia="Arial" w:hAnsi="Arial"/>
          <w:b/>
          <w:color w:val="14325A"/>
        </w:rPr>
        <w:t xml:space="preserve">4. النموذج المدمج (SaaS + Managed Services): </w:t>
      </w:r>
      <w:r>
        <w:rPr>
          <w:rFonts w:ascii="Arial" w:eastAsia="Arial" w:hAnsi="Arial"/>
          <w:color w:val="323232"/>
        </w:rPr>
        <w:t>الجمع بين أتمتة البرمجيات والخدمة البشرية الاحترافية يوفر حلولاً متكاملة بدلاً من الاكتفاء بسوفتوير مجرد.</w:t>
      </w:r>
    </w:p>
    <w:p w14:paraId="5D9422EE" w14:textId="77777777" w:rsidR="00445C39" w:rsidRDefault="00000000">
      <w:pPr>
        <w:pStyle w:val="ListBullet"/>
        <w:bidi/>
        <w:spacing w:after="80" w:line="288" w:lineRule="auto"/>
        <w:jc w:val="right"/>
      </w:pPr>
      <w:r>
        <w:rPr>
          <w:rFonts w:ascii="Arial" w:eastAsia="Arial" w:hAnsi="Arial"/>
          <w:b/>
          <w:color w:val="14325A"/>
        </w:rPr>
        <w:t xml:space="preserve">5. مرونة البنية البرمجية (Laravel Scalability): </w:t>
      </w:r>
      <w:r>
        <w:rPr>
          <w:rFonts w:ascii="Arial" w:eastAsia="Arial" w:hAnsi="Arial"/>
          <w:color w:val="323232"/>
        </w:rPr>
        <w:t>استخدام Laravel يمنح المنصة مرونة هائلة للربط مع أي APIs خارجية وقابلية توسع عالية (Scalability).</w:t>
      </w:r>
    </w:p>
    <w:p w14:paraId="170CE8F1" w14:textId="77777777" w:rsidR="00445C39" w:rsidRDefault="00000000">
      <w:pPr>
        <w:pStyle w:val="Heading1"/>
        <w:bidi/>
        <w:spacing w:before="240" w:after="120"/>
        <w:jc w:val="right"/>
      </w:pPr>
      <w:r>
        <w:rPr>
          <w:rFonts w:ascii="Arial" w:eastAsia="Arial" w:hAnsi="Arial"/>
          <w:color w:val="1E56A0"/>
          <w:sz w:val="32"/>
        </w:rPr>
        <w:t>8. توصيات ومقترحات للاستفادة منها في مشاريع Smart Logic</w:t>
      </w:r>
    </w:p>
    <w:p w14:paraId="65512F47" w14:textId="77777777" w:rsidR="00445C39" w:rsidRDefault="00000000">
      <w:pPr>
        <w:bidi/>
        <w:spacing w:after="120" w:line="300" w:lineRule="auto"/>
        <w:jc w:val="right"/>
      </w:pPr>
      <w:r>
        <w:rPr>
          <w:rFonts w:ascii="Arial" w:eastAsia="Arial" w:hAnsi="Arial"/>
          <w:color w:val="323232"/>
        </w:rPr>
        <w:t>بناءً على تحليل موقع دفترك، نوصي بتطبيق الممارسات الفضلى التالية في مشاريعنا القادمة بشركة سمارت لوجيك:</w:t>
      </w:r>
    </w:p>
    <w:p w14:paraId="768FACCD" w14:textId="77777777" w:rsidR="00445C39" w:rsidRDefault="00000000">
      <w:pPr>
        <w:pStyle w:val="ListBullet"/>
        <w:bidi/>
        <w:spacing w:after="80" w:line="288" w:lineRule="auto"/>
        <w:jc w:val="right"/>
      </w:pPr>
      <w:r>
        <w:rPr>
          <w:rFonts w:ascii="Arial" w:eastAsia="Arial" w:hAnsi="Arial"/>
          <w:b/>
          <w:color w:val="14325A"/>
        </w:rPr>
        <w:t xml:space="preserve">• إضافة حاسبات الخدمة التفاعلية: </w:t>
      </w:r>
      <w:r>
        <w:rPr>
          <w:rFonts w:ascii="Arial" w:eastAsia="Arial" w:hAnsi="Arial"/>
          <w:color w:val="323232"/>
        </w:rPr>
        <w:t>تطوير حاسبات تفاعلية مشابهة (Package Calculators / Estimators) في المواقع والأنظمة التي نطورها للعملاء لزيادة التفاعل وتحفيز طلب المبيعات.</w:t>
      </w:r>
    </w:p>
    <w:p w14:paraId="00E537E7" w14:textId="77777777" w:rsidR="00445C39" w:rsidRDefault="00000000">
      <w:pPr>
        <w:pStyle w:val="ListBullet"/>
        <w:bidi/>
        <w:spacing w:after="80" w:line="288" w:lineRule="auto"/>
        <w:jc w:val="right"/>
      </w:pPr>
      <w:r>
        <w:rPr>
          <w:rFonts w:ascii="Arial" w:eastAsia="Arial" w:hAnsi="Arial"/>
          <w:b/>
          <w:color w:val="14325A"/>
        </w:rPr>
        <w:t xml:space="preserve">• دمج وكلاء الذكاء الاصطناعي (AI Assistants): </w:t>
      </w:r>
      <w:r>
        <w:rPr>
          <w:rFonts w:ascii="Arial" w:eastAsia="Arial" w:hAnsi="Arial"/>
          <w:color w:val="323232"/>
        </w:rPr>
        <w:t>دمج مساعدين أذكياء (AI Chatbots) مبنيين على موديولات OpenAI / Gemini مباشرة في الواجهات الأمامية للشركات الخدمية والتقنية.</w:t>
      </w:r>
    </w:p>
    <w:p w14:paraId="749E3D1B" w14:textId="77777777" w:rsidR="00445C39" w:rsidRDefault="00000000">
      <w:pPr>
        <w:pStyle w:val="ListBullet"/>
        <w:bidi/>
        <w:spacing w:after="80" w:line="288" w:lineRule="auto"/>
        <w:jc w:val="right"/>
      </w:pPr>
      <w:r>
        <w:rPr>
          <w:rFonts w:ascii="Arial" w:eastAsia="Arial" w:hAnsi="Arial"/>
          <w:b/>
          <w:color w:val="14325A"/>
        </w:rPr>
        <w:t xml:space="preserve">• التركيز على التكامل والـ API Connectors: </w:t>
      </w:r>
      <w:r>
        <w:rPr>
          <w:rFonts w:ascii="Arial" w:eastAsia="Arial" w:hAnsi="Arial"/>
          <w:color w:val="323232"/>
        </w:rPr>
        <w:t>التركيز على حلول الربط البرمجي (APIs Integration) بين منصات E-commerce / POS وأنظمة Odoo / ERP الخلفية كقيمة مضافة للمؤسسات.</w:t>
      </w:r>
    </w:p>
    <w:sectPr w:rsidR="00445C39"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1832829">
    <w:abstractNumId w:val="8"/>
  </w:num>
  <w:num w:numId="2" w16cid:durableId="640811791">
    <w:abstractNumId w:val="6"/>
  </w:num>
  <w:num w:numId="3" w16cid:durableId="842234792">
    <w:abstractNumId w:val="5"/>
  </w:num>
  <w:num w:numId="4" w16cid:durableId="613176706">
    <w:abstractNumId w:val="4"/>
  </w:num>
  <w:num w:numId="5" w16cid:durableId="2071422899">
    <w:abstractNumId w:val="7"/>
  </w:num>
  <w:num w:numId="6" w16cid:durableId="1135176299">
    <w:abstractNumId w:val="3"/>
  </w:num>
  <w:num w:numId="7" w16cid:durableId="2120680035">
    <w:abstractNumId w:val="2"/>
  </w:num>
  <w:num w:numId="8" w16cid:durableId="342443145">
    <w:abstractNumId w:val="1"/>
  </w:num>
  <w:num w:numId="9" w16cid:durableId="446779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45C39"/>
    <w:rsid w:val="006C4DA2"/>
    <w:rsid w:val="00AA1D8D"/>
    <w:rsid w:val="00AD2D57"/>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584DA1"/>
  <w14:defaultImageDpi w14:val="300"/>
  <w15:docId w15:val="{A9A402B6-4660-491D-8BB8-E991745C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1118</Words>
  <Characters>6376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ahmed magdy</cp:lastModifiedBy>
  <cp:revision>2</cp:revision>
  <dcterms:created xsi:type="dcterms:W3CDTF">2013-12-23T23:15:00Z</dcterms:created>
  <dcterms:modified xsi:type="dcterms:W3CDTF">2026-08-20T15:02:00Z</dcterms:modified>
  <cp:category/>
</cp:coreProperties>
</file>