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4.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492240" cy="2840355"/>
            <wp:docPr id="1" name="Picture 1"/>
            <wp:cNvGraphicFramePr>
              <a:graphicFrameLocks noChangeAspect="1"/>
            </wp:cNvGraphicFramePr>
            <a:graphic>
              <a:graphicData uri="http://schemas.openxmlformats.org/drawingml/2006/picture">
                <pic:pic>
                  <pic:nvPicPr>
                    <pic:cNvPr id="0" name="rms_cover_banner.jpg"/>
                    <pic:cNvPicPr/>
                  </pic:nvPicPr>
                  <pic:blipFill>
                    <a:blip r:embed="rId11"/>
                    <a:stretch>
                      <a:fillRect/>
                    </a:stretch>
                  </pic:blipFill>
                  <pic:spPr>
                    <a:xfrm>
                      <a:off x="0" y="0"/>
                      <a:ext cx="6492240" cy="2840355"/>
                    </a:xfrm>
                    <a:prstGeom prst="rect"/>
                  </pic:spPr>
                </pic:pic>
              </a:graphicData>
            </a:graphic>
          </wp:inline>
        </w:drawing>
      </w:r>
    </w:p>
    <w:p>
      <w:pPr>
        <w:jc w:val="center"/>
      </w:pPr>
      <w:r>
        <w:drawing>
          <wp:inline xmlns:a="http://schemas.openxmlformats.org/drawingml/2006/main" xmlns:pic="http://schemas.openxmlformats.org/drawingml/2006/picture">
            <wp:extent cx="1143000" cy="1160406"/>
            <wp:docPr id="2" name="Picture 2"/>
            <wp:cNvGraphicFramePr>
              <a:graphicFrameLocks noChangeAspect="1"/>
            </wp:cNvGraphicFramePr>
            <a:graphic>
              <a:graphicData uri="http://schemas.openxmlformats.org/drawingml/2006/picture">
                <pic:pic>
                  <pic:nvPicPr>
                    <pic:cNvPr id="0" name="rms_logo.png"/>
                    <pic:cNvPicPr/>
                  </pic:nvPicPr>
                  <pic:blipFill>
                    <a:blip r:embed="rId12"/>
                    <a:stretch>
                      <a:fillRect/>
                    </a:stretch>
                  </pic:blipFill>
                  <pic:spPr>
                    <a:xfrm>
                      <a:off x="0" y="0"/>
                      <a:ext cx="1143000" cy="1160406"/>
                    </a:xfrm>
                    <a:prstGeom prst="rect"/>
                  </pic:spPr>
                </pic:pic>
              </a:graphicData>
            </a:graphic>
          </wp:inline>
        </w:drawing>
      </w:r>
    </w:p>
    <w:p>
      <w:pPr>
        <w:jc w:val="right"/>
        <w:bidi w:val="1"/>
      </w:pPr>
      <w:r>
        <w:rPr>
          <w:rFonts w:ascii="Noto Kufi Arabic" w:hAnsi="Noto Kufi Arabic" w:cs="Noto Kufi Arabic" w:eastAsia="Noto Kufi Arabic"/>
          <w:b/>
          <w:color w:val="0B2A53"/>
          <w:sz w:val="48"/>
          <w:rtl w:val="1"/>
        </w:rPr>
        <w:t>تقرير المنظومة الرقمية المتكاملة</w:t>
      </w:r>
    </w:p>
    <w:p>
      <w:pPr>
        <w:jc w:val="right"/>
        <w:bidi w:val="1"/>
      </w:pPr>
      <w:r>
        <w:rPr>
          <w:rFonts w:ascii="Noto Kufi Arabic" w:hAnsi="Noto Kufi Arabic" w:cs="Noto Kufi Arabic" w:eastAsia="Noto Kufi Arabic"/>
          <w:b/>
          <w:color w:val="B8202A"/>
          <w:sz w:val="36"/>
          <w:rtl w:val="1"/>
        </w:rPr>
        <w:t>RMS – Renaissance Misr Schools</w:t>
      </w:r>
    </w:p>
    <w:p>
      <w:pPr>
        <w:jc w:val="right"/>
        <w:bidi w:val="1"/>
      </w:pPr>
      <w:r>
        <w:rPr>
          <w:rFonts w:ascii="Noto Sans Arabic" w:hAnsi="Noto Sans Arabic" w:cs="Noto Sans Arabic" w:eastAsia="Noto Sans Arabic"/>
          <w:b/>
          <w:color w:val="173B66"/>
          <w:sz w:val="26"/>
          <w:rtl w:val="1"/>
        </w:rPr>
        <w:t>نظام إدارة مؤسسي Odoo 17 + موقع رسمي Laravel</w:t>
      </w:r>
    </w:p>
    <w:p>
      <w:pPr>
        <w:jc w:val="right"/>
        <w:bidi w:val="1"/>
      </w:pPr>
      <w:r>
        <w:rPr>
          <w:rFonts w:ascii="Noto Sans Arabic" w:hAnsi="Noto Sans Arabic" w:cs="Noto Sans Arabic" w:eastAsia="Noto Sans Arabic"/>
          <w:b w:val="0"/>
          <w:color w:val="5B6675"/>
          <w:sz w:val="22"/>
          <w:rtl w:val="1"/>
        </w:rPr>
        <w:t>تحليل المميزات • نقاط القوة • التكامل • القيمة التشغيلية</w:t>
      </w:r>
    </w:p>
    <w:p>
      <w:pPr>
        <w:spacing w:before="160"/>
        <w:jc w:val="right"/>
        <w:bidi w:val="1"/>
      </w:pPr>
      <w:r>
        <w:rPr>
          <w:rFonts w:ascii="Noto Sans Arabic" w:hAnsi="Noto Sans Arabic" w:cs="Noto Sans Arabic" w:eastAsia="Noto Sans Arabic"/>
          <w:b w:val="0"/>
          <w:color w:val="5B6675"/>
          <w:sz w:val="19"/>
          <w:rtl w:val="1"/>
        </w:rPr>
        <w:t>تاريخ المراجعة: 19 أغسطس 2026</w:t>
      </w:r>
    </w:p>
    <w:p>
      <w:pPr>
        <w:jc w:val="center"/>
      </w:pPr>
      <w:hyperlink r:id="rId13">
        <w:r>
          <w:rPr>
            <w:rFonts w:ascii="Noto Sans Arabic" w:hAnsi="Noto Sans Arabic" w:cs="Noto Sans Arabic" w:eastAsia="Noto Sans Arabic"/>
            <w:rtl w:val="1"/>
            <w:color w:val="173B66"/>
            <w:u w:val="single"/>
          </w:rPr>
          <w:t>rms-edu.net</w:t>
        </w:r>
      </w:hyperlink>
      <w:r>
        <w:rPr>
          <w:rFonts w:ascii="DejaVu Sans" w:hAnsi="DejaVu Sans" w:cs="DejaVu Sans" w:eastAsia="DejaVu Sans"/>
          <w:b w:val="0"/>
          <w:color w:val="5B6675"/>
          <w:sz w:val="18"/>
          <w:rtl w:val="1"/>
        </w:rPr>
        <w:t xml:space="preserve">   |   </w:t>
      </w:r>
      <w:hyperlink r:id="rId14">
        <w:r>
          <w:rPr>
            <w:rFonts w:ascii="Noto Sans Arabic" w:hAnsi="Noto Sans Arabic" w:cs="Noto Sans Arabic" w:eastAsia="Noto Sans Arabic"/>
            <w:rtl w:val="1"/>
            <w:color w:val="173B66"/>
            <w:u w:val="single"/>
          </w:rPr>
          <w:t>system.rms-edu.net</w:t>
        </w:r>
      </w:hyperlink>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1. الملخص التنفيذي</w:t>
      </w:r>
    </w:p>
    <w:p>
      <w:pPr>
        <w:bidi w:val="1"/>
        <w:spacing w:before="0" w:after="100" w:line="283" w:lineRule="auto"/>
        <w:jc w:val="right"/>
      </w:pPr>
      <w:r>
        <w:rPr>
          <w:rFonts w:ascii="Noto Sans Arabic" w:hAnsi="Noto Sans Arabic" w:cs="Noto Sans Arabic" w:eastAsia="Noto Sans Arabic"/>
          <w:b w:val="0"/>
          <w:color w:val="1F2937"/>
          <w:sz w:val="21"/>
          <w:rtl w:val="1"/>
        </w:rPr>
        <w:t>تمثل منظومة RMS نموذجًا واضحًا للتحول الرقمي المدرسي الذي يجمع بين واجهة عامة موجهة لأولياء الأمور والطلاب، ونظام داخلي مركزي لإدارة البيانات والمتابعة. الموقع الرسمي مبني على Laravel ويقدم تجربة تعريفية وقبول إلكتروني ثنائية اللغة، بينما تعمل بوابة النظام على Odoo 17 لتوفير طبقة تشغيل وإدارة قابلة للتوسع والتخصيص.</w:t>
      </w:r>
    </w:p>
    <w:p>
      <w:pPr>
        <w:bidi w:val="1"/>
        <w:spacing w:before="0" w:after="100" w:line="283" w:lineRule="auto"/>
        <w:jc w:val="right"/>
      </w:pPr>
      <w:r>
        <w:rPr>
          <w:rFonts w:ascii="Noto Sans Arabic" w:hAnsi="Noto Sans Arabic" w:cs="Noto Sans Arabic" w:eastAsia="Noto Sans Arabic"/>
          <w:b w:val="0"/>
          <w:color w:val="1F2937"/>
          <w:sz w:val="21"/>
          <w:rtl w:val="1"/>
        </w:rPr>
        <w:t>أهم نقطة قوة في المشروع ليست وجود موقع ونظام منفصلين فحسب، بل وجود مسار رقمي يربط رحلة ولي الأمر من التعرف على المدرسة وحتى إرسال طلب الالتحاق ومتابعته داخل النظام. الموقع يذكر صراحة أن طلب القبول يتم تحويله مباشرة إلى فريق القبول داخل نظام المتابعة، وهو ما يحول الموقع من مجرد واجهة تعريفية إلى قناة تشغيل فعلية.</w:t>
      </w:r>
    </w:p>
    <w:tbl>
      <w:tblPr>
        <w:tblW w:type="auto" w:w="0"/>
        <w:jc w:val="center"/>
        <w:tblLayout w:type="autofit"/>
        <w:tblLook w:firstColumn="1" w:firstRow="1" w:lastColumn="0" w:lastRow="0" w:noHBand="0" w:noVBand="1" w:val="04A0"/>
      </w:tblPr>
      <w:tblGrid>
        <w:gridCol w:w="10368"/>
      </w:tblGrid>
      <w:tr>
        <w:trPr>
          <w:cantSplit w:val="true"/>
        </w:trPr>
        <w:tc>
          <w:tcPr>
            <w:tcW w:type="dxa" w:w="10368"/>
            <w:shd w:fill="FFF8E1"/>
            <w:tcMar>
              <w:top w:w="140" w:type="dxa"/>
              <w:start w:w="160" w:type="dxa"/>
              <w:bottom w:w="140" w:type="dxa"/>
              <w:end w:w="160" w:type="dxa"/>
            </w:tcMar>
            <w:tcBorders>
              <w:start w:val="single" w:sz="20" w:color="D6A81E"/>
            </w:tcBorders>
          </w:tcPr>
          <w:p>
            <w:pPr>
              <w:bidi w:val="1"/>
              <w:jc w:val="right"/>
            </w:pPr>
            <w:r>
              <w:rPr>
                <w:rFonts w:ascii="Noto Kufi Arabic" w:hAnsi="Noto Kufi Arabic" w:cs="Noto Kufi Arabic" w:eastAsia="Noto Kufi Arabic"/>
                <w:b/>
                <w:color w:val="0B2A53"/>
                <w:sz w:val="23"/>
                <w:rtl w:val="1"/>
              </w:rPr>
              <w:t>الخلاصة</w:t>
              <w:br/>
            </w:r>
            <w:r>
              <w:rPr>
                <w:rFonts w:ascii="Noto Sans Arabic" w:hAnsi="Noto Sans Arabic" w:cs="Noto Sans Arabic" w:eastAsia="Noto Sans Arabic"/>
                <w:b w:val="0"/>
                <w:color w:val="1F2937"/>
                <w:sz w:val="20"/>
                <w:rtl w:val="1"/>
              </w:rPr>
              <w:t>المنظومة تجمع بين قوة Laravel في بناء واجهة ويب مرنة وسريعة التطوير، وقوة Odoo 17 في إدارة العمليات والبيانات والصلاحيات والتكامل. النتيجة هي أساس تقني مناسب لإدارة مدرسة متعددة الأقسام والمراحل مع قابلية للتوسع مستقبلًا.</w:t>
            </w:r>
          </w:p>
        </w:tc>
      </w:tr>
    </w:tbl>
    <w:p>
      <w:pPr>
        <w:spacing w:after="20"/>
      </w:pPr>
    </w:p>
    <w:p>
      <w:pPr>
        <w:bidi w:val="1"/>
        <w:spacing w:before="180" w:after="100"/>
        <w:jc w:val="right"/>
      </w:pPr>
      <w:r>
        <w:rPr>
          <w:rFonts w:ascii="Noto Kufi Arabic" w:hAnsi="Noto Kufi Arabic" w:cs="Noto Kufi Arabic" w:eastAsia="Noto Kufi Arabic"/>
          <w:b/>
          <w:color w:val="173B66"/>
          <w:sz w:val="26"/>
          <w:rtl w:val="1"/>
        </w:rPr>
        <w:t>نطاق المراجعة ومنهجية التقرير</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تمت مراجعة الصفحات العامة المتاحة على الموقع الرسمي بالعربية والإنجليزية.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تمت مراجعة واجهات Odoo العامة المتاحة دون تسجيل دخول: تسجيل الدخول، إنشاء الحساب، واستعادة كلمة المرور.</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الوحدات الداخلية والعمليات التي تتطلب حسابًا وصلاحيات لم يتم الادعاء بأنها مفعلة فعليًا ما لم يظهر دليل عام عليها؛ تم تناول قدرات Odoo 17 التقنية كعوامل قوة للبنية وقابلية التوسع.</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تم الاعتماد كذلك على التوثيق الرسمي لـ Odoo 17 وLaravel عند وصف قدرات المنصتين.</w:t>
      </w:r>
    </w:p>
    <w:p>
      <w:pPr>
        <w:bidi w:val="1"/>
        <w:spacing w:before="180" w:after="100"/>
        <w:jc w:val="right"/>
      </w:pPr>
      <w:r>
        <w:rPr>
          <w:rFonts w:ascii="Noto Kufi Arabic" w:hAnsi="Noto Kufi Arabic" w:cs="Noto Kufi Arabic" w:eastAsia="Noto Kufi Arabic"/>
          <w:b/>
          <w:color w:val="173B66"/>
          <w:sz w:val="26"/>
          <w:rtl w:val="1"/>
        </w:rPr>
        <w:t>مؤشرات سريعة</w:t>
      </w:r>
    </w:p>
    <w:tbl>
      <w:tblPr>
        <w:tblW w:type="auto" w:w="0"/>
        <w:jc w:val="center"/>
        <w:tblLayout w:type="fixed"/>
        <w:tblLook w:firstColumn="1" w:firstRow="1" w:lastColumn="0" w:lastRow="0" w:noHBand="0" w:noVBand="1" w:val="04A0"/>
      </w:tblPr>
      <w:tblGrid>
        <w:gridCol w:w="5184"/>
        <w:gridCol w:w="5184"/>
      </w:tblGrid>
      <w:tr>
        <w:trPr>
          <w:tblHeader w:val="true"/>
          <w:cantSplit w:val="true"/>
        </w:trPr>
        <w:tc>
          <w:tcPr>
            <w:tcW w:type="dxa" w:w="2088"/>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المحور</w:t>
            </w:r>
          </w:p>
        </w:tc>
        <w:tc>
          <w:tcPr>
            <w:tcW w:type="dxa" w:w="7200"/>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القيمة المتحققة</w:t>
            </w:r>
          </w:p>
        </w:tc>
      </w:tr>
      <w:tr>
        <w:trPr>
          <w:cantSplit w:val="true"/>
        </w:trPr>
        <w:tc>
          <w:tcPr>
            <w:tcW w:type="dxa" w:w="208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الواجهة العامة</w:t>
            </w:r>
          </w:p>
        </w:tc>
        <w:tc>
          <w:tcPr>
            <w:tcW w:type="dxa" w:w="720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موقع مدرسي ثنائي اللغة يشرح المدرسة والخدمات والمراحل والأنشطة والقبول والتواصل.</w:t>
            </w:r>
          </w:p>
        </w:tc>
      </w:tr>
      <w:tr>
        <w:trPr>
          <w:cantSplit w:val="true"/>
        </w:trPr>
        <w:tc>
          <w:tcPr>
            <w:tcW w:type="dxa" w:w="208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القبول الإلكتروني</w:t>
            </w:r>
          </w:p>
        </w:tc>
        <w:tc>
          <w:tcPr>
            <w:tcW w:type="dxa" w:w="720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نموذج منظم يجمع بيانات الطالب وولي الأمر ويرسل الطلب إلى فريق القبول داخل النظام.</w:t>
            </w:r>
          </w:p>
        </w:tc>
      </w:tr>
      <w:tr>
        <w:trPr>
          <w:cantSplit w:val="true"/>
        </w:trPr>
        <w:tc>
          <w:tcPr>
            <w:tcW w:type="dxa" w:w="208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النظام الداخلي</w:t>
            </w:r>
          </w:p>
        </w:tc>
        <w:tc>
          <w:tcPr>
            <w:tcW w:type="dxa" w:w="720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بوابة Odoo 17 مركزية مع تسجيل دخول وإدارة حسابات واستعادة كلمة المرور.</w:t>
            </w:r>
          </w:p>
        </w:tc>
      </w:tr>
      <w:tr>
        <w:trPr>
          <w:cantSplit w:val="true"/>
        </w:trPr>
        <w:tc>
          <w:tcPr>
            <w:tcW w:type="dxa" w:w="208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التكامل</w:t>
            </w:r>
          </w:p>
        </w:tc>
        <w:tc>
          <w:tcPr>
            <w:tcW w:type="dxa" w:w="720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ربط واجهة Laravel العامة بطبقة متابعة داخلية يقلل الإدخال المكرر ويجعل البيانات قابلة للمتابعة.</w:t>
            </w:r>
          </w:p>
        </w:tc>
      </w:tr>
      <w:tr>
        <w:trPr>
          <w:cantSplit w:val="true"/>
        </w:trPr>
        <w:tc>
          <w:tcPr>
            <w:tcW w:type="dxa" w:w="208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القابلية للتوسع</w:t>
            </w:r>
          </w:p>
        </w:tc>
        <w:tc>
          <w:tcPr>
            <w:tcW w:type="dxa" w:w="720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Odoo وLaravel كلاهما قابل للتخصيص والتكامل مع عمليات ووحدات إضافية مستقبلًا.</w:t>
            </w:r>
          </w:p>
        </w:tc>
      </w:tr>
    </w:tbl>
    <w:p>
      <w:pPr>
        <w:spacing w:after="40"/>
      </w:pP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2. المعمارية العامة للمنظومة</w:t>
      </w:r>
    </w:p>
    <w:p>
      <w:pPr>
        <w:bidi w:val="1"/>
        <w:spacing w:before="0" w:after="100" w:line="283" w:lineRule="auto"/>
        <w:jc w:val="right"/>
      </w:pPr>
      <w:r>
        <w:rPr>
          <w:rFonts w:ascii="Noto Sans Arabic" w:hAnsi="Noto Sans Arabic" w:cs="Noto Sans Arabic" w:eastAsia="Noto Sans Arabic"/>
          <w:b w:val="0"/>
          <w:color w:val="1F2937"/>
          <w:sz w:val="21"/>
          <w:rtl w:val="1"/>
        </w:rPr>
        <w:t>يمكن فهم المشروع كمنظومة من طبقتين متكاملتين: طبقة Front Office موجهة للجمهور عبر الموقع، وطبقة Back Office موجهة لفريق المدرسة عبر Odoo. هذا الفصل يعطي كل فئة من المستخدمين تجربة مناسبة لاحتياجاتها دون تحميل الموقع العام تعقيدات التشغيل الداخلي.</w:t>
      </w:r>
    </w:p>
    <w:tbl>
      <w:tblPr>
        <w:tblW w:type="auto" w:w="0"/>
        <w:jc w:val="center"/>
        <w:tblLayout w:type="fixed"/>
        <w:tblLook w:firstColumn="1" w:firstRow="1" w:lastColumn="0" w:lastRow="0" w:noHBand="0" w:noVBand="1" w:val="04A0"/>
      </w:tblPr>
      <w:tblGrid>
        <w:gridCol w:w="1152"/>
        <w:gridCol w:w="1152"/>
        <w:gridCol w:w="1152"/>
        <w:gridCol w:w="1152"/>
        <w:gridCol w:w="1152"/>
        <w:gridCol w:w="1152"/>
        <w:gridCol w:w="1152"/>
        <w:gridCol w:w="1152"/>
        <w:gridCol w:w="1152"/>
      </w:tblGrid>
      <w:tr>
        <w:trPr>
          <w:cantSplit w:val="true"/>
        </w:trPr>
        <w:tc>
          <w:tcPr>
            <w:tcW w:type="dxa" w:w="1152"/>
            <w:shd w:fill="EEF4FA"/>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ولي الأمر</w:t>
            </w:r>
          </w:p>
        </w:tc>
        <w:tc>
          <w:tcPr>
            <w:tcW w:type="dxa" w:w="1152"/>
          </w:tcPr>
          <w:p>
            <w:pPr>
              <w:jc w:val="center"/>
            </w:pPr>
            <w:r>
              <w:rPr>
                <w:rFonts w:ascii="DejaVu Sans" w:hAnsi="DejaVu Sans" w:cs="DejaVu Sans" w:eastAsia="DejaVu Sans"/>
                <w:b/>
                <w:color w:val="D6A81E"/>
                <w:sz w:val="32"/>
                <w:rtl w:val="1"/>
              </w:rPr>
              <w:t>←</w:t>
            </w:r>
          </w:p>
        </w:tc>
        <w:tc>
          <w:tcPr>
            <w:tcW w:type="dxa" w:w="1152"/>
            <w:shd w:fill="FFF8E1"/>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موقع Laravel</w:t>
            </w:r>
          </w:p>
        </w:tc>
        <w:tc>
          <w:tcPr>
            <w:tcW w:type="dxa" w:w="1152"/>
          </w:tcPr>
          <w:p>
            <w:pPr>
              <w:jc w:val="center"/>
            </w:pPr>
            <w:r>
              <w:rPr>
                <w:rFonts w:ascii="DejaVu Sans" w:hAnsi="DejaVu Sans" w:cs="DejaVu Sans" w:eastAsia="DejaVu Sans"/>
                <w:b/>
                <w:color w:val="D6A81E"/>
                <w:sz w:val="32"/>
                <w:rtl w:val="1"/>
              </w:rPr>
              <w:t>←</w:t>
            </w:r>
          </w:p>
        </w:tc>
        <w:tc>
          <w:tcPr>
            <w:tcW w:type="dxa" w:w="1152"/>
            <w:shd w:fill="EEF4FA"/>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طلب الالتحاق</w:t>
            </w:r>
          </w:p>
        </w:tc>
        <w:tc>
          <w:tcPr>
            <w:tcW w:type="dxa" w:w="1152"/>
          </w:tcPr>
          <w:p>
            <w:pPr>
              <w:jc w:val="center"/>
            </w:pPr>
            <w:r>
              <w:rPr>
                <w:rFonts w:ascii="DejaVu Sans" w:hAnsi="DejaVu Sans" w:cs="DejaVu Sans" w:eastAsia="DejaVu Sans"/>
                <w:b/>
                <w:color w:val="D6A81E"/>
                <w:sz w:val="32"/>
                <w:rtl w:val="1"/>
              </w:rPr>
              <w:t>←</w:t>
            </w:r>
          </w:p>
        </w:tc>
        <w:tc>
          <w:tcPr>
            <w:tcW w:type="dxa" w:w="1152"/>
            <w:shd w:fill="FFF8E1"/>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RMS / Odoo 17</w:t>
            </w:r>
          </w:p>
        </w:tc>
        <w:tc>
          <w:tcPr>
            <w:tcW w:type="dxa" w:w="1152"/>
          </w:tcPr>
          <w:p>
            <w:pPr>
              <w:jc w:val="center"/>
            </w:pPr>
            <w:r>
              <w:rPr>
                <w:rFonts w:ascii="DejaVu Sans" w:hAnsi="DejaVu Sans" w:cs="DejaVu Sans" w:eastAsia="DejaVu Sans"/>
                <w:b/>
                <w:color w:val="D6A81E"/>
                <w:sz w:val="32"/>
                <w:rtl w:val="1"/>
              </w:rPr>
              <w:t>←</w:t>
            </w:r>
          </w:p>
        </w:tc>
        <w:tc>
          <w:tcPr>
            <w:tcW w:type="dxa" w:w="1152"/>
            <w:shd w:fill="EEF4FA"/>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فريق القبول</w:t>
            </w:r>
          </w:p>
        </w:tc>
      </w:tr>
    </w:tbl>
    <w:p/>
    <w:tbl>
      <w:tblPr>
        <w:tblW w:type="auto" w:w="0"/>
        <w:jc w:val="center"/>
        <w:tblLayout w:type="fixed"/>
        <w:tblLook w:firstColumn="1" w:firstRow="1" w:lastColumn="0" w:lastRow="0" w:noHBand="0" w:noVBand="1" w:val="04A0"/>
      </w:tblPr>
      <w:tblGrid>
        <w:gridCol w:w="3456"/>
        <w:gridCol w:w="3456"/>
        <w:gridCol w:w="3456"/>
      </w:tblGrid>
      <w:tr>
        <w:trPr>
          <w:tblHeader w:val="true"/>
          <w:cantSplit w:val="true"/>
        </w:trPr>
        <w:tc>
          <w:tcPr>
            <w:tcW w:type="dxa" w:w="1944"/>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الطبقة</w:t>
            </w:r>
          </w:p>
        </w:tc>
        <w:tc>
          <w:tcPr>
            <w:tcW w:type="dxa" w:w="4104"/>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الدور</w:t>
            </w:r>
          </w:p>
        </w:tc>
        <w:tc>
          <w:tcPr>
            <w:tcW w:type="dxa" w:w="3240"/>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نقطة القوة</w:t>
            </w:r>
          </w:p>
        </w:tc>
      </w:tr>
      <w:tr>
        <w:trPr>
          <w:cantSplit w:val="true"/>
        </w:trPr>
        <w:tc>
          <w:tcPr>
            <w:tcW w:type="dxa" w:w="194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Laravel Website</w:t>
            </w:r>
          </w:p>
        </w:tc>
        <w:tc>
          <w:tcPr>
            <w:tcW w:type="dxa" w:w="410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التعريف بالمدرسة، جذب الطلبات، عرض المعلومات، استقبال بيانات القبول.</w:t>
            </w:r>
          </w:p>
        </w:tc>
        <w:tc>
          <w:tcPr>
            <w:tcW w:type="dxa" w:w="324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واجهة مخصصة للهوية المدرسية مع مرونة عالية في المحتوى وتجربة المستخدم.</w:t>
            </w:r>
          </w:p>
        </w:tc>
      </w:tr>
      <w:tr>
        <w:trPr>
          <w:cantSplit w:val="true"/>
        </w:trPr>
        <w:tc>
          <w:tcPr>
            <w:tcW w:type="dxa" w:w="1944"/>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Integration Layer</w:t>
            </w:r>
          </w:p>
        </w:tc>
        <w:tc>
          <w:tcPr>
            <w:tcW w:type="dxa" w:w="4104"/>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تمرير بيانات طلبات القبول من الموقع إلى نظام المتابعة.</w:t>
            </w:r>
          </w:p>
        </w:tc>
        <w:tc>
          <w:tcPr>
            <w:tcW w:type="dxa" w:w="324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تحويل الزيارة إلى عملية قابلة للمتابعة بدل الاعتماد على اتصالات أو ملفات منفصلة.</w:t>
            </w:r>
          </w:p>
        </w:tc>
      </w:tr>
      <w:tr>
        <w:trPr>
          <w:cantSplit w:val="true"/>
        </w:trPr>
        <w:tc>
          <w:tcPr>
            <w:tcW w:type="dxa" w:w="194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Odoo 17 RMS</w:t>
            </w:r>
          </w:p>
        </w:tc>
        <w:tc>
          <w:tcPr>
            <w:tcW w:type="dxa" w:w="410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تجميع البيانات، إدارة المستخدمين والصلاحيات، بناء مسارات العمل والتقارير.</w:t>
            </w:r>
          </w:p>
        </w:tc>
        <w:tc>
          <w:tcPr>
            <w:tcW w:type="dxa" w:w="324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منصة مؤسسية modular قابلة للتخصيص والتكامل.</w:t>
            </w:r>
          </w:p>
        </w:tc>
      </w:tr>
    </w:tbl>
    <w:p>
      <w:pPr>
        <w:spacing w:after="40"/>
      </w:pPr>
    </w:p>
    <w:p>
      <w:pPr>
        <w:spacing w:after="20"/>
      </w:pP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3. الموقع الرسمي RMS المبني على Laravel</w:t>
      </w:r>
    </w:p>
    <w:p>
      <w:pPr>
        <w:bidi w:val="1"/>
        <w:spacing w:before="0" w:after="100" w:line="283" w:lineRule="auto"/>
        <w:jc w:val="right"/>
      </w:pPr>
      <w:r>
        <w:rPr>
          <w:rFonts w:ascii="Noto Sans Arabic" w:hAnsi="Noto Sans Arabic" w:cs="Noto Sans Arabic" w:eastAsia="Noto Sans Arabic"/>
          <w:b w:val="0"/>
          <w:color w:val="1F2937"/>
          <w:sz w:val="21"/>
          <w:rtl w:val="1"/>
        </w:rPr>
        <w:t>الموقع الرسمي لمدارس رينسانس مصر الخاصة يقدم المدرسة كمؤسسة تعليمية متكاملة بنظام ناشيونال عربي ولغات، ويعرض رحلة تعليمية تشمل الابتدائي والإعدادي والثانوي، إلى جانب المرافق والأنشطة وسياسات القبول ووسائل التواصل.</w:t>
      </w:r>
    </w:p>
    <w:p>
      <w:pPr>
        <w:keepNext/>
        <w:bidi w:val="1"/>
        <w:spacing w:before="180" w:after="100"/>
        <w:jc w:val="right"/>
      </w:pPr>
      <w:r>
        <w:rPr>
          <w:rFonts w:ascii="Noto Kufi Arabic" w:hAnsi="Noto Kufi Arabic" w:cs="Noto Kufi Arabic" w:eastAsia="Noto Kufi Arabic"/>
          <w:b/>
          <w:color w:val="173B66"/>
          <w:sz w:val="26"/>
          <w:rtl w:val="1"/>
        </w:rPr>
        <w:t>3.1 نقاط القوة في تجربة المحتوى</w:t>
      </w: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1</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هوية مدرسية واضحة — </w:t>
            </w:r>
            <w:r>
              <w:rPr>
                <w:rFonts w:ascii="Noto Sans Arabic" w:hAnsi="Noto Sans Arabic" w:cs="Noto Sans Arabic" w:eastAsia="Noto Sans Arabic"/>
                <w:b w:val="0"/>
                <w:color w:val="1F2937"/>
                <w:sz w:val="20"/>
                <w:rtl w:val="1"/>
              </w:rPr>
              <w:t>اسم المدرسة ورسالتها التعليمية يظهران بوضوح منذ بداية الصفحة، مع صياغة تركّز على التعليم المنظم، الأمان، وبناء شخصية الطالب.</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2</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رحلة معلومات متكاملة — </w:t>
            </w:r>
            <w:r>
              <w:rPr>
                <w:rFonts w:ascii="Noto Sans Arabic" w:hAnsi="Noto Sans Arabic" w:cs="Noto Sans Arabic" w:eastAsia="Noto Sans Arabic"/>
                <w:b w:val="0"/>
                <w:color w:val="1F2937"/>
                <w:sz w:val="20"/>
                <w:rtl w:val="1"/>
              </w:rPr>
              <w:t>تقسيم المحتوى إلى عن المدرسة، المرافق والخدمات، المراحل، الأنشطة، التقديم، الرؤية، معرض الصور، والتواصل يجعل رحلة ولي الأمر منطقية ومباشرة.</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3</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عرض المراحل في مسار واحد — </w:t>
            </w:r>
            <w:r>
              <w:rPr>
                <w:rFonts w:ascii="Noto Sans Arabic" w:hAnsi="Noto Sans Arabic" w:cs="Noto Sans Arabic" w:eastAsia="Noto Sans Arabic"/>
                <w:b w:val="0"/>
                <w:color w:val="1F2937"/>
                <w:sz w:val="20"/>
                <w:rtl w:val="1"/>
              </w:rPr>
              <w:t>الموقع يجمع الابتدائي والإعدادي والثانوي عربي ولغات في سياق موحد، وهو ما يساعد الأسرة على فهم استمرارية الرحلة التعليمية داخل نفس المؤسسة.</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4</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محتوى يبني الثقة — </w:t>
            </w:r>
            <w:r>
              <w:rPr>
                <w:rFonts w:ascii="Noto Sans Arabic" w:hAnsi="Noto Sans Arabic" w:cs="Noto Sans Arabic" w:eastAsia="Noto Sans Arabic"/>
                <w:b w:val="0"/>
                <w:color w:val="1F2937"/>
                <w:sz w:val="20"/>
                <w:rtl w:val="1"/>
              </w:rPr>
              <w:t>إظهار معامل العلوم والكمبيوتر واللغات والموسيقى، السمارت بورد، الإنترنت داخل الفصول، الباصات والكاميرات والمكتبة والملاعب يعطي صورة عملية عن بيئة المدرسة.</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5</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إبراز الحياة المدرسية — </w:t>
            </w:r>
            <w:r>
              <w:rPr>
                <w:rFonts w:ascii="Noto Sans Arabic" w:hAnsi="Noto Sans Arabic" w:cs="Noto Sans Arabic" w:eastAsia="Noto Sans Arabic"/>
                <w:b w:val="0"/>
                <w:color w:val="1F2937"/>
                <w:sz w:val="20"/>
                <w:rtl w:val="1"/>
              </w:rPr>
              <w:t>عرض الأنشطة الرياضية والفنية والمهارية، حفل التخرج، برنامج UC Math، واللغات الأجنبية يزيد من ثراء الصورة الذهنية للمدرسة.</w:t>
            </w:r>
          </w:p>
        </w:tc>
      </w:tr>
    </w:tbl>
    <w:p>
      <w:pPr>
        <w:spacing w:after="20"/>
      </w:pPr>
    </w:p>
    <w:p>
      <w:pPr>
        <w:keepNext/>
        <w:bidi w:val="1"/>
        <w:spacing w:before="180" w:after="100"/>
        <w:jc w:val="right"/>
      </w:pPr>
      <w:r>
        <w:rPr>
          <w:rFonts w:ascii="Noto Kufi Arabic" w:hAnsi="Noto Kufi Arabic" w:cs="Noto Kufi Arabic" w:eastAsia="Noto Kufi Arabic"/>
          <w:b/>
          <w:color w:val="173B66"/>
          <w:sz w:val="26"/>
          <w:rtl w:val="1"/>
        </w:rPr>
        <w:t>3.2 ثنائية اللغة وإتاحة المحتوى</w:t>
      </w:r>
    </w:p>
    <w:p>
      <w:pPr>
        <w:bidi w:val="1"/>
        <w:spacing w:before="0" w:after="100" w:line="283" w:lineRule="auto"/>
        <w:jc w:val="right"/>
      </w:pPr>
      <w:r>
        <w:rPr>
          <w:rFonts w:ascii="Noto Sans Arabic" w:hAnsi="Noto Sans Arabic" w:cs="Noto Sans Arabic" w:eastAsia="Noto Sans Arabic"/>
          <w:b w:val="0"/>
          <w:color w:val="1F2937"/>
          <w:sz w:val="21"/>
          <w:rtl w:val="1"/>
        </w:rPr>
        <w:t>الموقع متاح بواجهتين عربية وإنجليزية، مع ترجمة عملية لأقسام المحتوى الأساسية ونموذج التقديم. هذه النقطة مهمة لمدرسة تقدم أقسامًا عربية ولغات وتتعامل مع شرائح مختلفة من أولياء الأمور.</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توحيد الرسالة الأساسية بين النسختين العربية والإنجليزية.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تسهيل وصول أولياء الأمور غير المفضلين للواجهة العربية.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دعم صورة مؤسسية أكثر احترافًا للمدرسة.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اختيار Laravel كبنية خلفية للموقع يوفر أساسًا قويًا للتعريب وإدارة النصوص متعددة اللغات.</w:t>
      </w: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4. منظومة القبول الإلكتروني على الموقع</w:t>
      </w:r>
    </w:p>
    <w:p>
      <w:pPr>
        <w:bidi w:val="1"/>
        <w:spacing w:before="0" w:after="100" w:line="283" w:lineRule="auto"/>
        <w:jc w:val="right"/>
      </w:pPr>
      <w:r>
        <w:rPr>
          <w:rFonts w:ascii="Noto Sans Arabic" w:hAnsi="Noto Sans Arabic" w:cs="Noto Sans Arabic" w:eastAsia="Noto Sans Arabic"/>
          <w:b w:val="0"/>
          <w:color w:val="1F2937"/>
          <w:sz w:val="21"/>
          <w:rtl w:val="1"/>
        </w:rPr>
        <w:t>القبول الإلكتروني هو أكثر جزء تشغيلي أهمية في الموقع. بدل أن يكتفي ولي الأمر بقراءة المعلومات أو الاتصال هاتفيًا، يمكنه إرسال طلب منظم يحتوي على البيانات اللازمة لبدء المتابعة.</w:t>
      </w:r>
    </w:p>
    <w:p>
      <w:pPr>
        <w:keepNext/>
        <w:bidi w:val="1"/>
        <w:spacing w:before="180" w:after="100"/>
        <w:jc w:val="right"/>
      </w:pPr>
      <w:r>
        <w:rPr>
          <w:rFonts w:ascii="Noto Kufi Arabic" w:hAnsi="Noto Kufi Arabic" w:cs="Noto Kufi Arabic" w:eastAsia="Noto Kufi Arabic"/>
          <w:b/>
          <w:color w:val="173B66"/>
          <w:sz w:val="26"/>
          <w:rtl w:val="1"/>
        </w:rPr>
        <w:t>4.1 البيانات التي يجمعها النموذج</w:t>
      </w:r>
    </w:p>
    <w:tbl>
      <w:tblPr>
        <w:tblW w:type="auto" w:w="0"/>
        <w:jc w:val="center"/>
        <w:tblLayout w:type="fixed"/>
        <w:tblLook w:firstColumn="1" w:firstRow="1" w:lastColumn="0" w:lastRow="0" w:noHBand="0" w:noVBand="1" w:val="04A0"/>
      </w:tblPr>
      <w:tblGrid>
        <w:gridCol w:w="5184"/>
        <w:gridCol w:w="5184"/>
      </w:tblGrid>
      <w:tr>
        <w:trPr>
          <w:tblHeader w:val="true"/>
          <w:cantSplit w:val="true"/>
        </w:trPr>
        <w:tc>
          <w:tcPr>
            <w:tcW w:type="dxa" w:w="2160"/>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الفئة</w:t>
            </w:r>
          </w:p>
        </w:tc>
        <w:tc>
          <w:tcPr>
            <w:tcW w:type="dxa" w:w="7056"/>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البيانات</w:t>
            </w:r>
          </w:p>
        </w:tc>
      </w:tr>
      <w:tr>
        <w:trPr>
          <w:cantSplit w:val="true"/>
        </w:trPr>
        <w:tc>
          <w:tcPr>
            <w:tcW w:type="dxa" w:w="216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بيانات الطالب</w:t>
            </w:r>
          </w:p>
        </w:tc>
        <w:tc>
          <w:tcPr>
            <w:tcW w:type="dxa" w:w="705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الاسم بالكامل، تاريخ الميلاد، سنة الالتحاق، العمر.</w:t>
            </w:r>
          </w:p>
        </w:tc>
      </w:tr>
      <w:tr>
        <w:trPr>
          <w:cantSplit w:val="true"/>
        </w:trPr>
        <w:tc>
          <w:tcPr>
            <w:tcW w:type="dxa" w:w="216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الوضع الأسري</w:t>
            </w:r>
          </w:p>
        </w:tc>
        <w:tc>
          <w:tcPr>
            <w:tcW w:type="dxa" w:w="705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هل يوجد أخ أو أخت في نفس المدرسة.</w:t>
            </w:r>
          </w:p>
        </w:tc>
      </w:tr>
      <w:tr>
        <w:trPr>
          <w:cantSplit w:val="true"/>
        </w:trPr>
        <w:tc>
          <w:tcPr>
            <w:tcW w:type="dxa" w:w="216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المسار الدراسي</w:t>
            </w:r>
          </w:p>
        </w:tc>
        <w:tc>
          <w:tcPr>
            <w:tcW w:type="dxa" w:w="705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المرحلة المطلوبة والقسم المطلوب.</w:t>
            </w:r>
          </w:p>
        </w:tc>
      </w:tr>
      <w:tr>
        <w:trPr>
          <w:cantSplit w:val="true"/>
        </w:trPr>
        <w:tc>
          <w:tcPr>
            <w:tcW w:type="dxa" w:w="216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ولي الأمر</w:t>
            </w:r>
          </w:p>
        </w:tc>
        <w:tc>
          <w:tcPr>
            <w:tcW w:type="dxa" w:w="705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اسم الأب/ولي الأمر، الوظيفة.</w:t>
            </w:r>
          </w:p>
        </w:tc>
      </w:tr>
      <w:tr>
        <w:trPr>
          <w:cantSplit w:val="true"/>
        </w:trPr>
        <w:tc>
          <w:tcPr>
            <w:tcW w:type="dxa" w:w="216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التواصل</w:t>
            </w:r>
          </w:p>
        </w:tc>
        <w:tc>
          <w:tcPr>
            <w:tcW w:type="dxa" w:w="705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رقم الموبايل والبريد الإلكتروني.</w:t>
            </w:r>
          </w:p>
        </w:tc>
      </w:tr>
      <w:tr>
        <w:trPr>
          <w:cantSplit w:val="true"/>
        </w:trPr>
        <w:tc>
          <w:tcPr>
            <w:tcW w:type="dxa" w:w="216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ملاحظات</w:t>
            </w:r>
          </w:p>
        </w:tc>
        <w:tc>
          <w:tcPr>
            <w:tcW w:type="dxa" w:w="705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حقل مخصص لأي تفاصيل إضافية.</w:t>
            </w:r>
          </w:p>
        </w:tc>
      </w:tr>
    </w:tbl>
    <w:p>
      <w:pPr>
        <w:spacing w:after="40"/>
      </w:pPr>
    </w:p>
    <w:p>
      <w:pPr>
        <w:keepNext/>
        <w:bidi w:val="1"/>
        <w:spacing w:before="180" w:after="100"/>
        <w:jc w:val="right"/>
      </w:pPr>
      <w:r>
        <w:rPr>
          <w:rFonts w:ascii="Noto Kufi Arabic" w:hAnsi="Noto Kufi Arabic" w:cs="Noto Kufi Arabic" w:eastAsia="Noto Kufi Arabic"/>
          <w:b/>
          <w:color w:val="173B66"/>
          <w:sz w:val="26"/>
          <w:rtl w:val="1"/>
        </w:rPr>
        <w:t>4.2 قوة رحلة القبول</w:t>
      </w:r>
    </w:p>
    <w:tbl>
      <w:tblPr>
        <w:tblW w:type="auto" w:w="0"/>
        <w:jc w:val="center"/>
        <w:tblLayout w:type="fixed"/>
        <w:tblLook w:firstColumn="1" w:firstRow="1" w:lastColumn="0" w:lastRow="0" w:noHBand="0" w:noVBand="1" w:val="04A0"/>
      </w:tblPr>
      <w:tblGrid>
        <w:gridCol w:w="1152"/>
        <w:gridCol w:w="1152"/>
        <w:gridCol w:w="1152"/>
        <w:gridCol w:w="1152"/>
        <w:gridCol w:w="1152"/>
        <w:gridCol w:w="1152"/>
        <w:gridCol w:w="1152"/>
        <w:gridCol w:w="1152"/>
        <w:gridCol w:w="1152"/>
      </w:tblGrid>
      <w:tr>
        <w:trPr>
          <w:cantSplit w:val="true"/>
        </w:trPr>
        <w:tc>
          <w:tcPr>
            <w:tcW w:type="dxa" w:w="1152"/>
            <w:shd w:fill="EEF4FA"/>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إرسال الطلب</w:t>
            </w:r>
          </w:p>
        </w:tc>
        <w:tc>
          <w:tcPr>
            <w:tcW w:type="dxa" w:w="1152"/>
          </w:tcPr>
          <w:p>
            <w:pPr>
              <w:jc w:val="center"/>
            </w:pPr>
            <w:r>
              <w:rPr>
                <w:rFonts w:ascii="DejaVu Sans" w:hAnsi="DejaVu Sans" w:cs="DejaVu Sans" w:eastAsia="DejaVu Sans"/>
                <w:b/>
                <w:color w:val="D6A81E"/>
                <w:sz w:val="32"/>
                <w:rtl w:val="1"/>
              </w:rPr>
              <w:t>←</w:t>
            </w:r>
          </w:p>
        </w:tc>
        <w:tc>
          <w:tcPr>
            <w:tcW w:type="dxa" w:w="1152"/>
            <w:shd w:fill="FFF8E1"/>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استلام البيانات</w:t>
            </w:r>
          </w:p>
        </w:tc>
        <w:tc>
          <w:tcPr>
            <w:tcW w:type="dxa" w:w="1152"/>
          </w:tcPr>
          <w:p>
            <w:pPr>
              <w:jc w:val="center"/>
            </w:pPr>
            <w:r>
              <w:rPr>
                <w:rFonts w:ascii="DejaVu Sans" w:hAnsi="DejaVu Sans" w:cs="DejaVu Sans" w:eastAsia="DejaVu Sans"/>
                <w:b/>
                <w:color w:val="D6A81E"/>
                <w:sz w:val="32"/>
                <w:rtl w:val="1"/>
              </w:rPr>
              <w:t>←</w:t>
            </w:r>
          </w:p>
        </w:tc>
        <w:tc>
          <w:tcPr>
            <w:tcW w:type="dxa" w:w="1152"/>
            <w:shd w:fill="EEF4FA"/>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التواصل</w:t>
            </w:r>
          </w:p>
        </w:tc>
        <w:tc>
          <w:tcPr>
            <w:tcW w:type="dxa" w:w="1152"/>
          </w:tcPr>
          <w:p>
            <w:pPr>
              <w:jc w:val="center"/>
            </w:pPr>
            <w:r>
              <w:rPr>
                <w:rFonts w:ascii="DejaVu Sans" w:hAnsi="DejaVu Sans" w:cs="DejaVu Sans" w:eastAsia="DejaVu Sans"/>
                <w:b/>
                <w:color w:val="D6A81E"/>
                <w:sz w:val="32"/>
                <w:rtl w:val="1"/>
              </w:rPr>
              <w:t>←</w:t>
            </w:r>
          </w:p>
        </w:tc>
        <w:tc>
          <w:tcPr>
            <w:tcW w:type="dxa" w:w="1152"/>
            <w:shd w:fill="FFF8E1"/>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اختبار/مقابلة</w:t>
            </w:r>
          </w:p>
        </w:tc>
        <w:tc>
          <w:tcPr>
            <w:tcW w:type="dxa" w:w="1152"/>
          </w:tcPr>
          <w:p>
            <w:pPr>
              <w:jc w:val="center"/>
            </w:pPr>
            <w:r>
              <w:rPr>
                <w:rFonts w:ascii="DejaVu Sans" w:hAnsi="DejaVu Sans" w:cs="DejaVu Sans" w:eastAsia="DejaVu Sans"/>
                <w:b/>
                <w:color w:val="D6A81E"/>
                <w:sz w:val="32"/>
                <w:rtl w:val="1"/>
              </w:rPr>
              <w:t>←</w:t>
            </w:r>
          </w:p>
        </w:tc>
        <w:tc>
          <w:tcPr>
            <w:tcW w:type="dxa" w:w="1152"/>
            <w:shd w:fill="EEF4FA"/>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استكمال الملف والرسوم</w:t>
            </w:r>
          </w:p>
        </w:tc>
      </w:tr>
    </w:tbl>
    <w:p/>
    <w:p>
      <w:pPr>
        <w:bidi w:val="1"/>
        <w:spacing w:before="0" w:after="100" w:line="283" w:lineRule="auto"/>
        <w:jc w:val="right"/>
      </w:pPr>
      <w:r>
        <w:rPr>
          <w:rFonts w:ascii="Noto Sans Arabic" w:hAnsi="Noto Sans Arabic" w:cs="Noto Sans Arabic" w:eastAsia="Noto Sans Arabic"/>
          <w:b w:val="0"/>
          <w:color w:val="1F2937"/>
          <w:sz w:val="21"/>
          <w:rtl w:val="1"/>
        </w:rPr>
        <w:t>الموقع يشرح للزائر ما سيحدث بعد الإرسال: مراجعة البيانات، التواصل لتحديد التقييم أو المقابلة، ثم استكمال المستندات والرسوم. وضوح الخطوات يقلل القلق والأسئلة المتكررة ويجعل العملية أكثر شفافية.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إظهار سن التقديم وقواعد القبول قبل الزيارة.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توضيح المستندات المطلوبة مسبقًا، مثل شهادة الميلاد والصور وبطاقات الوالدين.</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توضيح وجود أقساط وخصومات للأشقاء وبداية التقديم، مع توجيه الأسرة للتواصل للحصول على التفاصيل المالية.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تكرار CTA «قدّم الآن» و«تواصل معنا» يوجه الزائر نحو إجراء واضح بدل التصفح فقط.</w:t>
      </w:r>
    </w:p>
    <w:tbl>
      <w:tblPr>
        <w:tblW w:type="auto" w:w="0"/>
        <w:jc w:val="center"/>
        <w:tblLayout w:type="autofit"/>
        <w:tblLook w:firstColumn="1" w:firstRow="1" w:lastColumn="0" w:lastRow="0" w:noHBand="0" w:noVBand="1" w:val="04A0"/>
      </w:tblPr>
      <w:tblGrid>
        <w:gridCol w:w="10368"/>
      </w:tblGrid>
      <w:tr>
        <w:trPr>
          <w:cantSplit w:val="true"/>
        </w:trPr>
        <w:tc>
          <w:tcPr>
            <w:tcW w:type="dxa" w:w="10368"/>
            <w:shd w:fill="EEF4FA"/>
            <w:tcMar>
              <w:top w:w="140" w:type="dxa"/>
              <w:start w:w="160" w:type="dxa"/>
              <w:bottom w:w="140" w:type="dxa"/>
              <w:end w:w="160" w:type="dxa"/>
            </w:tcMar>
            <w:tcBorders>
              <w:start w:val="single" w:sz="20" w:color="173B66"/>
            </w:tcBorders>
          </w:tcPr>
          <w:p>
            <w:pPr>
              <w:bidi w:val="1"/>
              <w:jc w:val="right"/>
            </w:pPr>
            <w:r>
              <w:rPr>
                <w:rFonts w:ascii="Noto Kufi Arabic" w:hAnsi="Noto Kufi Arabic" w:cs="Noto Kufi Arabic" w:eastAsia="Noto Kufi Arabic"/>
                <w:b/>
                <w:color w:val="0B2A53"/>
                <w:sz w:val="23"/>
                <w:rtl w:val="1"/>
              </w:rPr>
              <w:t>نقطة تميز تشغيلية</w:t>
              <w:br/>
            </w:r>
            <w:r>
              <w:rPr>
                <w:rFonts w:ascii="Noto Sans Arabic" w:hAnsi="Noto Sans Arabic" w:cs="Noto Sans Arabic" w:eastAsia="Noto Sans Arabic"/>
                <w:b w:val="0"/>
                <w:color w:val="1F2937"/>
                <w:sz w:val="20"/>
                <w:rtl w:val="1"/>
              </w:rPr>
              <w:t>الموقع يذكر أن الطلب يُرسل مباشرة إلى فريق القبول داخل نظام المتابعة. هذا الربط هو الذي يجعل الموقع جزءًا من منظومة العمل وليس مجرد موقع تعريفي.</w:t>
            </w:r>
          </w:p>
        </w:tc>
      </w:tr>
    </w:tbl>
    <w:p>
      <w:pPr>
        <w:spacing w:after="20"/>
      </w:pP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5. نقاط القوة التقنية للموقع باستخدام Laravel</w:t>
      </w:r>
    </w:p>
    <w:p>
      <w:pPr>
        <w:bidi w:val="1"/>
        <w:spacing w:before="0" w:after="100" w:line="283" w:lineRule="auto"/>
        <w:jc w:val="right"/>
      </w:pPr>
      <w:r>
        <w:rPr>
          <w:rFonts w:ascii="Noto Sans Arabic" w:hAnsi="Noto Sans Arabic" w:cs="Noto Sans Arabic" w:eastAsia="Noto Sans Arabic"/>
          <w:b w:val="0"/>
          <w:color w:val="1F2937"/>
          <w:sz w:val="21"/>
          <w:rtl w:val="1"/>
        </w:rPr>
        <w:t>وفقًا لمعلومة المشروع، الموقع مبني على Laravel. على المستوى الهندسي، هذا الاختيار يوفر أساسًا مناسبًا لموقع مؤسسي يحتاج إلى نماذج ديناميكية، تعدد لغات، تكامل مع نظام خارجي، وقابلية تطوير طويلة الأجل.</w:t>
      </w:r>
    </w:p>
    <w:tbl>
      <w:tblPr>
        <w:tblW w:type="auto" w:w="0"/>
        <w:jc w:val="center"/>
        <w:tblLayout w:type="fixed"/>
        <w:tblLook w:firstColumn="1" w:firstRow="1" w:lastColumn="0" w:lastRow="0" w:noHBand="0" w:noVBand="1" w:val="04A0"/>
      </w:tblPr>
      <w:tblGrid>
        <w:gridCol w:w="5184"/>
        <w:gridCol w:w="5184"/>
      </w:tblGrid>
      <w:tr>
        <w:trPr>
          <w:tblHeader w:val="true"/>
          <w:cantSplit w:val="true"/>
        </w:trPr>
        <w:tc>
          <w:tcPr>
            <w:tcW w:type="dxa" w:w="2520"/>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الجانب التقني</w:t>
            </w:r>
          </w:p>
        </w:tc>
        <w:tc>
          <w:tcPr>
            <w:tcW w:type="dxa" w:w="6696"/>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القيمة للمشروع</w:t>
            </w:r>
          </w:p>
        </w:tc>
      </w:tr>
      <w:tr>
        <w:trPr>
          <w:cantSplit w:val="true"/>
        </w:trPr>
        <w:tc>
          <w:tcPr>
            <w:tcW w:type="dxa" w:w="252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Architecture / MVC</w:t>
            </w:r>
          </w:p>
        </w:tc>
        <w:tc>
          <w:tcPr>
            <w:tcW w:type="dxa" w:w="669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فصل منطق العمل عن الواجهات والبيانات يسهل الصيانة والتطوير وإضافة وظائف جديدة دون فوضى في الكود.</w:t>
            </w:r>
          </w:p>
        </w:tc>
      </w:tr>
      <w:tr>
        <w:trPr>
          <w:cantSplit w:val="true"/>
        </w:trPr>
        <w:tc>
          <w:tcPr>
            <w:tcW w:type="dxa" w:w="252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Routing</w:t>
            </w:r>
          </w:p>
        </w:tc>
        <w:tc>
          <w:tcPr>
            <w:tcW w:type="dxa" w:w="669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إدارة واضحة للمسارات والواجهات وإمكانية بناء صفحات أو APIs مخصصة للتكامل.</w:t>
            </w:r>
          </w:p>
        </w:tc>
      </w:tr>
      <w:tr>
        <w:trPr>
          <w:cantSplit w:val="true"/>
        </w:trPr>
        <w:tc>
          <w:tcPr>
            <w:tcW w:type="dxa" w:w="252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Validation</w:t>
            </w:r>
          </w:p>
        </w:tc>
        <w:tc>
          <w:tcPr>
            <w:tcW w:type="dxa" w:w="669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إطار قوي للتحقق من بيانات النماذج قبل تمريرها إلى النظام الداخلي.</w:t>
            </w:r>
          </w:p>
        </w:tc>
      </w:tr>
      <w:tr>
        <w:trPr>
          <w:cantSplit w:val="true"/>
        </w:trPr>
        <w:tc>
          <w:tcPr>
            <w:tcW w:type="dxa" w:w="252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Localization</w:t>
            </w:r>
          </w:p>
        </w:tc>
        <w:tc>
          <w:tcPr>
            <w:tcW w:type="dxa" w:w="669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بنية مناسبة لدعم العربية والإنجليزية وإدارة النصوص متعددة اللغات.</w:t>
            </w:r>
          </w:p>
        </w:tc>
      </w:tr>
      <w:tr>
        <w:trPr>
          <w:cantSplit w:val="true"/>
        </w:trPr>
        <w:tc>
          <w:tcPr>
            <w:tcW w:type="dxa" w:w="252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Security Foundations</w:t>
            </w:r>
          </w:p>
        </w:tc>
        <w:tc>
          <w:tcPr>
            <w:tcW w:type="dxa" w:w="669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Laravel يتضمن آليات قياسية مثل CSRF protection للجلسات ونماذج الويب عند استخدامها بالطريقة القياسية.</w:t>
            </w:r>
          </w:p>
        </w:tc>
      </w:tr>
      <w:tr>
        <w:trPr>
          <w:cantSplit w:val="true"/>
        </w:trPr>
        <w:tc>
          <w:tcPr>
            <w:tcW w:type="dxa" w:w="252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Integration Readiness</w:t>
            </w:r>
          </w:p>
        </w:tc>
        <w:tc>
          <w:tcPr>
            <w:tcW w:type="dxa" w:w="669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سهولة بناء طبقة API أو service layer للتواصل مع Odoo أو خدمات أخرى.</w:t>
            </w:r>
          </w:p>
        </w:tc>
      </w:tr>
      <w:tr>
        <w:trPr>
          <w:cantSplit w:val="true"/>
        </w:trPr>
        <w:tc>
          <w:tcPr>
            <w:tcW w:type="dxa" w:w="252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Maintainability</w:t>
            </w:r>
          </w:p>
        </w:tc>
        <w:tc>
          <w:tcPr>
            <w:tcW w:type="dxa" w:w="669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هيكل واضح للمشروع يساعد فريق التطوير على الاختبار والتحديث وإعادة الاستخدام.</w:t>
            </w:r>
          </w:p>
        </w:tc>
      </w:tr>
    </w:tbl>
    <w:p>
      <w:pPr>
        <w:spacing w:after="40"/>
      </w:pPr>
    </w:p>
    <w:p>
      <w:pPr>
        <w:bidi w:val="1"/>
        <w:spacing w:before="0" w:after="100" w:line="283" w:lineRule="auto"/>
        <w:jc w:val="right"/>
      </w:pPr>
      <w:r>
        <w:rPr>
          <w:rFonts w:ascii="Noto Sans Arabic" w:hAnsi="Noto Sans Arabic" w:cs="Noto Sans Arabic" w:eastAsia="Noto Sans Arabic"/>
          <w:b w:val="0"/>
          <w:color w:val="1F2937"/>
          <w:sz w:val="21"/>
          <w:rtl w:val="1"/>
        </w:rPr>
        <w:t>ميزة Laravel هنا أنه لا يفرض على الواجهة العامة شكل Odoo أو قيوده البصرية؛ يمكن تصميم تجربة مدرسية كاملة حسب الهوية، مع إبقاء التشغيل الداخلي في Odoo.</w:t>
      </w: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6. نظام RMS الداخلي المبني على Odoo 17</w:t>
      </w:r>
    </w:p>
    <w:p>
      <w:pPr>
        <w:jc w:val="center"/>
      </w:pPr>
      <w:r>
        <w:drawing>
          <wp:inline xmlns:a="http://schemas.openxmlformats.org/drawingml/2006/main" xmlns:pic="http://schemas.openxmlformats.org/drawingml/2006/picture">
            <wp:extent cx="1097280" cy="1261872"/>
            <wp:docPr id="4" name="Picture 4"/>
            <wp:cNvGraphicFramePr>
              <a:graphicFrameLocks noChangeAspect="1"/>
            </wp:cNvGraphicFramePr>
            <a:graphic>
              <a:graphicData uri="http://schemas.openxmlformats.org/drawingml/2006/picture">
                <pic:pic>
                  <pic:nvPicPr>
                    <pic:cNvPr id="0" name="rms_system_logo.png"/>
                    <pic:cNvPicPr/>
                  </pic:nvPicPr>
                  <pic:blipFill>
                    <a:blip r:embed="rId16"/>
                    <a:stretch>
                      <a:fillRect/>
                    </a:stretch>
                  </pic:blipFill>
                  <pic:spPr>
                    <a:xfrm>
                      <a:off x="0" y="0"/>
                      <a:ext cx="1097280" cy="1261872"/>
                    </a:xfrm>
                    <a:prstGeom prst="rect"/>
                  </pic:spPr>
                </pic:pic>
              </a:graphicData>
            </a:graphic>
          </wp:inline>
        </w:drawing>
      </w:r>
    </w:p>
    <w:p>
      <w:pPr>
        <w:bidi w:val="1"/>
        <w:spacing w:before="0" w:after="100" w:line="283" w:lineRule="auto"/>
        <w:jc w:val="right"/>
      </w:pPr>
      <w:r>
        <w:rPr>
          <w:rFonts w:ascii="Noto Sans Arabic" w:hAnsi="Noto Sans Arabic" w:cs="Noto Sans Arabic" w:eastAsia="Noto Sans Arabic"/>
          <w:b w:val="0"/>
          <w:color w:val="1F2937"/>
          <w:sz w:val="21"/>
          <w:rtl w:val="1"/>
        </w:rPr>
        <w:t>البوابة الداخلية تعمل على Odoo، والواجهة العامة المتاحة تُظهر تسجيل الدخول، إنشاء حساب، واستعادة كلمة المرور. استخدام Odoo 17 كأساس للنظام يمنح المشروع منصة مؤسسية قابلة لتوسيع نماذج البيانات، مسارات العمل، الأدوار، التقارير، والتكاملات.</w:t>
      </w:r>
    </w:p>
    <w:p>
      <w:pPr>
        <w:keepNext/>
        <w:bidi w:val="1"/>
        <w:spacing w:before="180" w:after="100"/>
        <w:jc w:val="right"/>
      </w:pPr>
      <w:r>
        <w:rPr>
          <w:rFonts w:ascii="Noto Kufi Arabic" w:hAnsi="Noto Kufi Arabic" w:cs="Noto Kufi Arabic" w:eastAsia="Noto Kufi Arabic"/>
          <w:b/>
          <w:color w:val="173B66"/>
          <w:sz w:val="26"/>
          <w:rtl w:val="1"/>
        </w:rPr>
        <w:t>6.1 إدارة المستخدمين والوصول</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وجود شاشة تسجيل دخول مركزية يضع العمليات الداخلية خلف حسابات مستخدمين.</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توفير إنشاء الحساب واستعادة كلمة المرور يدعم دورة حياة الحسابات ويقلل الاعتماد على التدخل اليدوي في كل حالة.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Odoo 17 يدعم Access Rights وRecord Rules لتحديد ما يمكن لكل مجموعة أو مستخدم قراءته أو إنشاؤه أو تعديله أو حذفه.</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هذا النموذج مناسب لبيئة مدرسية تتعدد فيها الأدوار مثل الإدارة، القبول، الحسابات، الموارد البشرية، الأكاديميين، والمشرفين.</w:t>
      </w:r>
    </w:p>
    <w:p>
      <w:pPr>
        <w:keepNext/>
        <w:bidi w:val="1"/>
        <w:spacing w:before="180" w:after="100"/>
        <w:jc w:val="right"/>
      </w:pPr>
      <w:r>
        <w:rPr>
          <w:rFonts w:ascii="Noto Kufi Arabic" w:hAnsi="Noto Kufi Arabic" w:cs="Noto Kufi Arabic" w:eastAsia="Noto Kufi Arabic"/>
          <w:b/>
          <w:color w:val="173B66"/>
          <w:sz w:val="26"/>
          <w:rtl w:val="1"/>
        </w:rPr>
        <w:t>6.2 مركزية البيانات والعمليات</w:t>
      </w:r>
    </w:p>
    <w:p>
      <w:pPr>
        <w:bidi w:val="1"/>
        <w:spacing w:before="0" w:after="100" w:line="283" w:lineRule="auto"/>
        <w:jc w:val="right"/>
      </w:pPr>
      <w:r>
        <w:rPr>
          <w:rFonts w:ascii="Noto Sans Arabic" w:hAnsi="Noto Sans Arabic" w:cs="Noto Sans Arabic" w:eastAsia="Noto Sans Arabic"/>
          <w:b w:val="0"/>
          <w:color w:val="1F2937"/>
          <w:sz w:val="21"/>
          <w:rtl w:val="1"/>
        </w:rPr>
        <w:t>الاعتماد على Odoo كطبقة تشغيل مركزية يقلل الحاجة إلى ملفات Excel منفصلة أو قواعد بيانات متفرقة. يمكن بناء الكيانات المدرسية كبيانات مترابطة: طالب، ولي أمر، طلب التحاق، مرحلة، قسم، موظف، معاملة مالية، مستند، أو نشاط متابعة.</w:t>
      </w:r>
    </w:p>
    <w:tbl>
      <w:tblPr>
        <w:tblW w:type="auto" w:w="0"/>
        <w:jc w:val="center"/>
        <w:tblLayout w:type="autofit"/>
        <w:tblLook w:firstColumn="1" w:firstRow="1" w:lastColumn="0" w:lastRow="0" w:noHBand="0" w:noVBand="1" w:val="04A0"/>
      </w:tblPr>
      <w:tblGrid>
        <w:gridCol w:w="10368"/>
      </w:tblGrid>
      <w:tr>
        <w:trPr>
          <w:cantSplit w:val="true"/>
        </w:trPr>
        <w:tc>
          <w:tcPr>
            <w:tcW w:type="dxa" w:w="10368"/>
            <w:shd w:fill="EEF4FA"/>
            <w:tcMar>
              <w:top w:w="140" w:type="dxa"/>
              <w:start w:w="160" w:type="dxa"/>
              <w:bottom w:w="140" w:type="dxa"/>
              <w:end w:w="160" w:type="dxa"/>
            </w:tcMar>
            <w:tcBorders>
              <w:start w:val="single" w:sz="20" w:color="173B66"/>
            </w:tcBorders>
          </w:tcPr>
          <w:p>
            <w:pPr>
              <w:bidi w:val="1"/>
              <w:jc w:val="right"/>
            </w:pPr>
            <w:r>
              <w:rPr>
                <w:rFonts w:ascii="Noto Kufi Arabic" w:hAnsi="Noto Kufi Arabic" w:cs="Noto Kufi Arabic" w:eastAsia="Noto Kufi Arabic"/>
                <w:b/>
                <w:color w:val="0B2A53"/>
                <w:sz w:val="23"/>
                <w:rtl w:val="1"/>
              </w:rPr>
              <w:t>لماذا المركزية مهمة؟</w:t>
              <w:br/>
            </w:r>
            <w:r>
              <w:rPr>
                <w:rFonts w:ascii="Noto Sans Arabic" w:hAnsi="Noto Sans Arabic" w:cs="Noto Sans Arabic" w:eastAsia="Noto Sans Arabic"/>
                <w:b w:val="0"/>
                <w:color w:val="1F2937"/>
                <w:sz w:val="20"/>
                <w:rtl w:val="1"/>
              </w:rPr>
              <w:t>عندما تصبح بيانات القبول والمتابعة داخل نظام واحد، يمكن البحث عنها، تعيين مسؤول لها، تتبع حالتها، إعداد تقارير عليها، وتطبيق صلاحيات واضحة عليها بدل تداولها يدويًا بين الأقسام.</w:t>
            </w:r>
          </w:p>
        </w:tc>
      </w:tr>
    </w:tbl>
    <w:p>
      <w:pPr>
        <w:spacing w:after="20"/>
      </w:pPr>
    </w:p>
    <w:p>
      <w:pPr>
        <w:keepNext/>
        <w:bidi w:val="1"/>
        <w:spacing w:before="180" w:after="100"/>
        <w:jc w:val="right"/>
      </w:pPr>
      <w:r>
        <w:rPr>
          <w:rFonts w:ascii="Noto Kufi Arabic" w:hAnsi="Noto Kufi Arabic" w:cs="Noto Kufi Arabic" w:eastAsia="Noto Kufi Arabic"/>
          <w:b/>
          <w:color w:val="173B66"/>
          <w:sz w:val="26"/>
          <w:rtl w:val="1"/>
        </w:rPr>
        <w:t>6.3 المرونة والتخصيص</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Odoo منصة modular تسمح بإنشاء وحدات مخصصة تناسب العمليات المدرسية بدل إجبار المدرسة على Workflow ثابت.</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إمكانية إضافة حقول وحالات وموافقات وقوائم وتقارير حسب احتياجات الإدارة.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قابلية ربط عمليات مختلفة داخل نفس النظام بدل استخدام تطبيق منفصل لكل قسم.</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إمكانية تطوير بوابات وتقارير وخدمات إضافية مستقبلًا دون تغيير المنصة بالكامل.</w:t>
      </w: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7. المجالات التي يمكن أن تغطيها منظومة Odoo داخل RMS</w:t>
      </w:r>
    </w:p>
    <w:p>
      <w:pPr>
        <w:bidi w:val="1"/>
        <w:spacing w:before="0" w:after="100" w:line="283" w:lineRule="auto"/>
        <w:jc w:val="right"/>
      </w:pPr>
      <w:r>
        <w:rPr>
          <w:rFonts w:ascii="Noto Sans Arabic" w:hAnsi="Noto Sans Arabic" w:cs="Noto Sans Arabic" w:eastAsia="Noto Sans Arabic"/>
          <w:b w:val="0"/>
          <w:color w:val="1F2937"/>
          <w:sz w:val="21"/>
          <w:rtl w:val="1"/>
        </w:rPr>
        <w:t>القائمة التالية تشرح قيمة Odoo كمنصة مدرسية متكاملة. بعض البنود هي قدرات منصة قابلة للتفعيل أو التخصيص، وليست ادعاءً بأن جميعها مفعلة حاليًا دون مراجعة حساب داخلي.</w:t>
      </w:r>
    </w:p>
    <w:tbl>
      <w:tblPr>
        <w:tblW w:type="auto" w:w="0"/>
        <w:jc w:val="center"/>
        <w:tblLayout w:type="fixed"/>
        <w:tblLook w:firstColumn="1" w:firstRow="1" w:lastColumn="0" w:lastRow="0" w:noHBand="0" w:noVBand="1" w:val="04A0"/>
      </w:tblPr>
      <w:tblGrid>
        <w:gridCol w:w="5184"/>
        <w:gridCol w:w="5184"/>
      </w:tblGrid>
      <w:tr>
        <w:trPr>
          <w:tblHeader w:val="true"/>
          <w:cantSplit w:val="true"/>
        </w:trPr>
        <w:tc>
          <w:tcPr>
            <w:tcW w:type="dxa" w:w="2520"/>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المجال</w:t>
            </w:r>
          </w:p>
        </w:tc>
        <w:tc>
          <w:tcPr>
            <w:tcW w:type="dxa" w:w="6696"/>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القيمة التشغيلية الممكنة</w:t>
            </w:r>
          </w:p>
        </w:tc>
      </w:tr>
      <w:tr>
        <w:trPr>
          <w:cantSplit w:val="true"/>
        </w:trPr>
        <w:tc>
          <w:tcPr>
            <w:tcW w:type="dxa" w:w="252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Admissions / CRM</w:t>
            </w:r>
          </w:p>
        </w:tc>
        <w:tc>
          <w:tcPr>
            <w:tcW w:type="dxa" w:w="669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تحويل كل طلب إلى سجل قابل للمتابعة، تحديد مسؤول، حالة الطلب، موعد التقييم، نتائج المتابعة ومصدر الطلب.</w:t>
            </w:r>
          </w:p>
        </w:tc>
      </w:tr>
      <w:tr>
        <w:trPr>
          <w:cantSplit w:val="true"/>
        </w:trPr>
        <w:tc>
          <w:tcPr>
            <w:tcW w:type="dxa" w:w="252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Student Records</w:t>
            </w:r>
          </w:p>
        </w:tc>
        <w:tc>
          <w:tcPr>
            <w:tcW w:type="dxa" w:w="669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تجميع بيانات الطالب وولي الأمر والمستندات والمرحلة والقسم في ملف موحد.</w:t>
            </w:r>
          </w:p>
        </w:tc>
      </w:tr>
      <w:tr>
        <w:trPr>
          <w:cantSplit w:val="true"/>
        </w:trPr>
        <w:tc>
          <w:tcPr>
            <w:tcW w:type="dxa" w:w="252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Finance &amp; Fees</w:t>
            </w:r>
          </w:p>
        </w:tc>
        <w:tc>
          <w:tcPr>
            <w:tcW w:type="dxa" w:w="669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إدارة بنود مالية، مدفوعات، مستحقات، تقارير، وربطها بالطالب أو ولي الأمر عند تصميم الوحدة لذلك.</w:t>
            </w:r>
          </w:p>
        </w:tc>
      </w:tr>
      <w:tr>
        <w:trPr>
          <w:cantSplit w:val="true"/>
        </w:trPr>
        <w:tc>
          <w:tcPr>
            <w:tcW w:type="dxa" w:w="252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HR &amp; Employees</w:t>
            </w:r>
          </w:p>
        </w:tc>
        <w:tc>
          <w:tcPr>
            <w:tcW w:type="dxa" w:w="669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إدارة بيانات العاملين والأدوار والتعيينات والإجازات والحضور وفق الوحدات المستخدمة.</w:t>
            </w:r>
          </w:p>
        </w:tc>
      </w:tr>
      <w:tr>
        <w:trPr>
          <w:cantSplit w:val="true"/>
        </w:trPr>
        <w:tc>
          <w:tcPr>
            <w:tcW w:type="dxa" w:w="252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Attendance</w:t>
            </w:r>
          </w:p>
        </w:tc>
        <w:tc>
          <w:tcPr>
            <w:tcW w:type="dxa" w:w="669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تسجيل حضور العاملين، ويمكن تصميم حضور الطلاب كوحدة مخصصة أو تكامل منفصل.</w:t>
            </w:r>
          </w:p>
        </w:tc>
      </w:tr>
      <w:tr>
        <w:trPr>
          <w:cantSplit w:val="true"/>
        </w:trPr>
        <w:tc>
          <w:tcPr>
            <w:tcW w:type="dxa" w:w="252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Inventory &amp; Purchases</w:t>
            </w:r>
          </w:p>
        </w:tc>
        <w:tc>
          <w:tcPr>
            <w:tcW w:type="dxa" w:w="669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إدارة الكتب والزي والمستلزمات والمخزون والمشتريات عند تفعيل الوحدات المناسبة.</w:t>
            </w:r>
          </w:p>
        </w:tc>
      </w:tr>
      <w:tr>
        <w:trPr>
          <w:cantSplit w:val="true"/>
        </w:trPr>
        <w:tc>
          <w:tcPr>
            <w:tcW w:type="dxa" w:w="252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Documents</w:t>
            </w:r>
          </w:p>
        </w:tc>
        <w:tc>
          <w:tcPr>
            <w:tcW w:type="dxa" w:w="669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إدارة المستندات وربطها بالسجلات والعمليات بدل حفظها في مجلدات غير منظمة.</w:t>
            </w:r>
          </w:p>
        </w:tc>
      </w:tr>
      <w:tr>
        <w:trPr>
          <w:cantSplit w:val="true"/>
        </w:trPr>
        <w:tc>
          <w:tcPr>
            <w:tcW w:type="dxa" w:w="252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Communication</w:t>
            </w:r>
          </w:p>
        </w:tc>
        <w:tc>
          <w:tcPr>
            <w:tcW w:type="dxa" w:w="669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تجهيز إشعارات ورسائل أو تكاملات مع البريد وقنوات أخرى حسب التصميم.</w:t>
            </w:r>
          </w:p>
        </w:tc>
      </w:tr>
      <w:tr>
        <w:trPr>
          <w:cantSplit w:val="true"/>
        </w:trPr>
        <w:tc>
          <w:tcPr>
            <w:tcW w:type="dxa" w:w="252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Dashboards &amp; Reports</w:t>
            </w:r>
          </w:p>
        </w:tc>
        <w:tc>
          <w:tcPr>
            <w:tcW w:type="dxa" w:w="669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مؤشرات لحظية عن القبول والمتابعة والإيرادات والعمليات حسب البيانات المتاحة.</w:t>
            </w:r>
          </w:p>
        </w:tc>
      </w:tr>
      <w:tr>
        <w:trPr>
          <w:cantSplit w:val="true"/>
        </w:trPr>
        <w:tc>
          <w:tcPr>
            <w:tcW w:type="dxa" w:w="252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Audit &amp; Permissions</w:t>
            </w:r>
          </w:p>
        </w:tc>
        <w:tc>
          <w:tcPr>
            <w:tcW w:type="dxa" w:w="669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ضبط الوصول حسب الدور وتقليل التعديل غير المصرح به مع إمكانية تتبع العمليات حسب التخصيص.</w:t>
            </w:r>
          </w:p>
        </w:tc>
      </w:tr>
    </w:tbl>
    <w:p>
      <w:pPr>
        <w:spacing w:after="40"/>
      </w:pPr>
    </w:p>
    <w:p>
      <w:pPr>
        <w:keepNext/>
        <w:bidi w:val="1"/>
        <w:spacing w:before="180" w:after="100"/>
        <w:jc w:val="right"/>
      </w:pPr>
      <w:r>
        <w:rPr>
          <w:rFonts w:ascii="Noto Kufi Arabic" w:hAnsi="Noto Kufi Arabic" w:cs="Noto Kufi Arabic" w:eastAsia="Noto Kufi Arabic"/>
          <w:b/>
          <w:color w:val="173B66"/>
          <w:sz w:val="26"/>
          <w:rtl w:val="1"/>
        </w:rPr>
        <w:t>7.1 قابلية التكامل عبر API</w:t>
      </w:r>
    </w:p>
    <w:p>
      <w:pPr>
        <w:bidi w:val="1"/>
        <w:spacing w:before="0" w:after="100" w:line="283" w:lineRule="auto"/>
        <w:jc w:val="right"/>
      </w:pPr>
      <w:r>
        <w:rPr>
          <w:rFonts w:ascii="Noto Sans Arabic" w:hAnsi="Noto Sans Arabic" w:cs="Noto Sans Arabic" w:eastAsia="Noto Sans Arabic"/>
          <w:b w:val="0"/>
          <w:color w:val="1F2937"/>
          <w:sz w:val="21"/>
          <w:rtl w:val="1"/>
        </w:rPr>
        <w:t>توثيق Odoo 17 يوفر واجهات خارجية API تسمح للتطبيقات الموثقة بالتعامل مع البيانات وفق صلاحيات المستخدم. هذه الخاصية هي أساس قوي لربط موقع Laravel بالنظام، كما تسمح مستقبلًا بالربط مع تطبيق موبايل، بوابة ولي الأمر، نظام رسائل، أو خدمات دفع عند الحاجة.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فصل الواجهة العامة عن قاعدة البيانات الداخلية مع تمرير البيانات بطريقة منظمة.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إمكانية فرض قواعد تحقق وصلاحيات قبل إنشاء أو تعديل السجلات.</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فتح المجال لتطبيقات مستقبلية دون إعادة بناء النظام من الصفر.</w:t>
      </w: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8. التكامل بين الموقع والنظام: أهم نقطة قوة في المشروع</w:t>
      </w:r>
    </w:p>
    <w:p>
      <w:pPr>
        <w:bidi w:val="1"/>
        <w:spacing w:before="0" w:after="100" w:line="283" w:lineRule="auto"/>
        <w:jc w:val="right"/>
      </w:pPr>
      <w:r>
        <w:rPr>
          <w:rFonts w:ascii="Noto Sans Arabic" w:hAnsi="Noto Sans Arabic" w:cs="Noto Sans Arabic" w:eastAsia="Noto Sans Arabic"/>
          <w:b w:val="0"/>
          <w:color w:val="1F2937"/>
          <w:sz w:val="21"/>
          <w:rtl w:val="1"/>
        </w:rPr>
        <w:t>أقوى قيمة هندسية في مشروع RMS هي تحويل الموقع إلى بوابة حقيقية لمنظومة التشغيل. النموذج العام يوضح أن طلب الالتحاق لا ينتهي في بريد إلكتروني مجهول أو رسالة منفصلة، بل يصل إلى نظام المتابعة ليبدأ منه Workflow القبول.</w:t>
      </w:r>
    </w:p>
    <w:tbl>
      <w:tblPr>
        <w:tblW w:type="auto" w:w="0"/>
        <w:jc w:val="center"/>
        <w:tblLayout w:type="fixed"/>
        <w:tblLook w:firstColumn="1" w:firstRow="1" w:lastColumn="0" w:lastRow="0" w:noHBand="0" w:noVBand="1" w:val="04A0"/>
      </w:tblPr>
      <w:tblGrid>
        <w:gridCol w:w="1152"/>
        <w:gridCol w:w="1152"/>
        <w:gridCol w:w="1152"/>
        <w:gridCol w:w="1152"/>
        <w:gridCol w:w="1152"/>
        <w:gridCol w:w="1152"/>
        <w:gridCol w:w="1152"/>
        <w:gridCol w:w="1152"/>
        <w:gridCol w:w="1152"/>
      </w:tblGrid>
      <w:tr>
        <w:trPr>
          <w:cantSplit w:val="true"/>
        </w:trPr>
        <w:tc>
          <w:tcPr>
            <w:tcW w:type="dxa" w:w="1152"/>
            <w:shd w:fill="EEF4FA"/>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زيارة الموقع</w:t>
            </w:r>
          </w:p>
        </w:tc>
        <w:tc>
          <w:tcPr>
            <w:tcW w:type="dxa" w:w="1152"/>
          </w:tcPr>
          <w:p>
            <w:pPr>
              <w:jc w:val="center"/>
            </w:pPr>
            <w:r>
              <w:rPr>
                <w:rFonts w:ascii="DejaVu Sans" w:hAnsi="DejaVu Sans" w:cs="DejaVu Sans" w:eastAsia="DejaVu Sans"/>
                <w:b/>
                <w:color w:val="D6A81E"/>
                <w:sz w:val="32"/>
                <w:rtl w:val="1"/>
              </w:rPr>
              <w:t>←</w:t>
            </w:r>
          </w:p>
        </w:tc>
        <w:tc>
          <w:tcPr>
            <w:tcW w:type="dxa" w:w="1152"/>
            <w:shd w:fill="FFF8E1"/>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اختيار المرحلة</w:t>
            </w:r>
          </w:p>
        </w:tc>
        <w:tc>
          <w:tcPr>
            <w:tcW w:type="dxa" w:w="1152"/>
          </w:tcPr>
          <w:p>
            <w:pPr>
              <w:jc w:val="center"/>
            </w:pPr>
            <w:r>
              <w:rPr>
                <w:rFonts w:ascii="DejaVu Sans" w:hAnsi="DejaVu Sans" w:cs="DejaVu Sans" w:eastAsia="DejaVu Sans"/>
                <w:b/>
                <w:color w:val="D6A81E"/>
                <w:sz w:val="32"/>
                <w:rtl w:val="1"/>
              </w:rPr>
              <w:t>←</w:t>
            </w:r>
          </w:p>
        </w:tc>
        <w:tc>
          <w:tcPr>
            <w:tcW w:type="dxa" w:w="1152"/>
            <w:shd w:fill="EEF4FA"/>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إدخال البيانات</w:t>
            </w:r>
          </w:p>
        </w:tc>
        <w:tc>
          <w:tcPr>
            <w:tcW w:type="dxa" w:w="1152"/>
          </w:tcPr>
          <w:p>
            <w:pPr>
              <w:jc w:val="center"/>
            </w:pPr>
            <w:r>
              <w:rPr>
                <w:rFonts w:ascii="DejaVu Sans" w:hAnsi="DejaVu Sans" w:cs="DejaVu Sans" w:eastAsia="DejaVu Sans"/>
                <w:b/>
                <w:color w:val="D6A81E"/>
                <w:sz w:val="32"/>
                <w:rtl w:val="1"/>
              </w:rPr>
              <w:t>←</w:t>
            </w:r>
          </w:p>
        </w:tc>
        <w:tc>
          <w:tcPr>
            <w:tcW w:type="dxa" w:w="1152"/>
            <w:shd w:fill="FFF8E1"/>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إرسال إلى النظام</w:t>
            </w:r>
          </w:p>
        </w:tc>
        <w:tc>
          <w:tcPr>
            <w:tcW w:type="dxa" w:w="1152"/>
          </w:tcPr>
          <w:p>
            <w:pPr>
              <w:jc w:val="center"/>
            </w:pPr>
            <w:r>
              <w:rPr>
                <w:rFonts w:ascii="DejaVu Sans" w:hAnsi="DejaVu Sans" w:cs="DejaVu Sans" w:eastAsia="DejaVu Sans"/>
                <w:b/>
                <w:color w:val="D6A81E"/>
                <w:sz w:val="32"/>
                <w:rtl w:val="1"/>
              </w:rPr>
              <w:t>←</w:t>
            </w:r>
          </w:p>
        </w:tc>
        <w:tc>
          <w:tcPr>
            <w:tcW w:type="dxa" w:w="1152"/>
            <w:shd w:fill="EEF4FA"/>
            <w:tcMar>
              <w:top w:w="120" w:type="dxa"/>
              <w:start w:w="100" w:type="dxa"/>
              <w:bottom w:w="120" w:type="dxa"/>
              <w:end w:w="100" w:type="dxa"/>
            </w:tcMar>
          </w:tcPr>
          <w:p>
            <w:pPr>
              <w:jc w:val="right"/>
              <w:bidi w:val="1"/>
            </w:pPr>
            <w:r>
              <w:rPr>
                <w:rFonts w:ascii="Noto Sans Arabic" w:hAnsi="Noto Sans Arabic" w:cs="Noto Sans Arabic" w:eastAsia="Noto Sans Arabic"/>
                <w:b/>
                <w:color w:val="0B2A53"/>
                <w:sz w:val="18"/>
                <w:rtl w:val="1"/>
              </w:rPr>
              <w:t>متابعة القبول</w:t>
            </w:r>
          </w:p>
        </w:tc>
      </w:tr>
    </w:tbl>
    <w:p/>
    <w:p>
      <w:pPr>
        <w:keepNext/>
        <w:bidi w:val="1"/>
        <w:spacing w:before="180" w:after="100"/>
        <w:jc w:val="right"/>
      </w:pPr>
      <w:r>
        <w:rPr>
          <w:rFonts w:ascii="Noto Kufi Arabic" w:hAnsi="Noto Kufi Arabic" w:cs="Noto Kufi Arabic" w:eastAsia="Noto Kufi Arabic"/>
          <w:b/>
          <w:color w:val="173B66"/>
          <w:sz w:val="26"/>
          <w:rtl w:val="1"/>
        </w:rPr>
        <w:t>8.1 الفوائد المباشرة للتكامل</w:t>
      </w: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1</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تقليل الإدخال المكرر — </w:t>
            </w:r>
            <w:r>
              <w:rPr>
                <w:rFonts w:ascii="Noto Sans Arabic" w:hAnsi="Noto Sans Arabic" w:cs="Noto Sans Arabic" w:eastAsia="Noto Sans Arabic"/>
                <w:b w:val="0"/>
                <w:color w:val="1F2937"/>
                <w:sz w:val="20"/>
                <w:rtl w:val="1"/>
              </w:rPr>
              <w:t>عدم الحاجة إلى نسخ بيانات المتقدم يدويًا من رسائل أو أوراق إلى النظام.</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2</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سرعة الاستجابة — </w:t>
            </w:r>
            <w:r>
              <w:rPr>
                <w:rFonts w:ascii="Noto Sans Arabic" w:hAnsi="Noto Sans Arabic" w:cs="Noto Sans Arabic" w:eastAsia="Noto Sans Arabic"/>
                <w:b w:val="0"/>
                <w:color w:val="1F2937"/>
                <w:sz w:val="20"/>
                <w:rtl w:val="1"/>
              </w:rPr>
              <w:t>وصول الطلب إلى نقطة متابعة مركزية يساعد الفريق على بدء التواصل بسرعة.</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3</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جودة البيانات — </w:t>
            </w:r>
            <w:r>
              <w:rPr>
                <w:rFonts w:ascii="Noto Sans Arabic" w:hAnsi="Noto Sans Arabic" w:cs="Noto Sans Arabic" w:eastAsia="Noto Sans Arabic"/>
                <w:b w:val="0"/>
                <w:color w:val="1F2937"/>
                <w:sz w:val="20"/>
                <w:rtl w:val="1"/>
              </w:rPr>
              <w:t>حقول نموذج محددة تجعل البيانات أكثر تنظيمًا من الرسائل الحرة.</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4</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إمكانية القياس — </w:t>
            </w:r>
            <w:r>
              <w:rPr>
                <w:rFonts w:ascii="Noto Sans Arabic" w:hAnsi="Noto Sans Arabic" w:cs="Noto Sans Arabic" w:eastAsia="Noto Sans Arabic"/>
                <w:b w:val="0"/>
                <w:color w:val="1F2937"/>
                <w:sz w:val="20"/>
                <w:rtl w:val="1"/>
              </w:rPr>
              <w:t>كل طلب يمكن أن يصبح سجلًا يمكن عدّه وتصنيفه ومتابعة حالته ومصدره.</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5</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الشفافية الداخلية — </w:t>
            </w:r>
            <w:r>
              <w:rPr>
                <w:rFonts w:ascii="Noto Sans Arabic" w:hAnsi="Noto Sans Arabic" w:cs="Noto Sans Arabic" w:eastAsia="Noto Sans Arabic"/>
                <w:b w:val="0"/>
                <w:color w:val="1F2937"/>
                <w:sz w:val="20"/>
                <w:rtl w:val="1"/>
              </w:rPr>
              <w:t>الفريق يستطيع معرفة أين وصل كل طلب ومن المسؤول عنه عند بناء مراحل متابعة واضحة.</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6</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قابلية الأتمتة — </w:t>
            </w:r>
            <w:r>
              <w:rPr>
                <w:rFonts w:ascii="Noto Sans Arabic" w:hAnsi="Noto Sans Arabic" w:cs="Noto Sans Arabic" w:eastAsia="Noto Sans Arabic"/>
                <w:b w:val="0"/>
                <w:color w:val="1F2937"/>
                <w:sz w:val="20"/>
                <w:rtl w:val="1"/>
              </w:rPr>
              <w:t>يمكن إضافة تنبيهات ومهام ورسائل ومواعيد تلقائية مع توسع النظام.</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7</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تجربة أفضل لولي الأمر — </w:t>
            </w:r>
            <w:r>
              <w:rPr>
                <w:rFonts w:ascii="Noto Sans Arabic" w:hAnsi="Noto Sans Arabic" w:cs="Noto Sans Arabic" w:eastAsia="Noto Sans Arabic"/>
                <w:b w:val="0"/>
                <w:color w:val="1F2937"/>
                <w:sz w:val="20"/>
                <w:rtl w:val="1"/>
              </w:rPr>
              <w:t>بدء العملية إلكترونيًا قبل الزيارة يقلل الوقت والمجهود ويجعل الخطوات أكثر وضوحًا.</w:t>
            </w:r>
          </w:p>
        </w:tc>
      </w:tr>
    </w:tbl>
    <w:p>
      <w:pPr>
        <w:spacing w:after="20"/>
      </w:pPr>
    </w:p>
    <w:p>
      <w:pPr>
        <w:keepNext/>
        <w:bidi w:val="1"/>
        <w:spacing w:before="180" w:after="100"/>
        <w:jc w:val="right"/>
      </w:pPr>
      <w:r>
        <w:rPr>
          <w:rFonts w:ascii="Noto Kufi Arabic" w:hAnsi="Noto Kufi Arabic" w:cs="Noto Kufi Arabic" w:eastAsia="Noto Kufi Arabic"/>
          <w:b/>
          <w:color w:val="173B66"/>
          <w:sz w:val="26"/>
          <w:rtl w:val="1"/>
        </w:rPr>
        <w:t>8.2 نموذج Workflow احترافي للقبول</w:t>
      </w:r>
    </w:p>
    <w:tbl>
      <w:tblPr>
        <w:tblW w:type="auto" w:w="0"/>
        <w:jc w:val="center"/>
        <w:tblLayout w:type="fixed"/>
        <w:tblLook w:firstColumn="1" w:firstRow="1" w:lastColumn="0" w:lastRow="0" w:noHBand="0" w:noVBand="1" w:val="04A0"/>
      </w:tblPr>
      <w:tblGrid>
        <w:gridCol w:w="3456"/>
        <w:gridCol w:w="3456"/>
        <w:gridCol w:w="3456"/>
      </w:tblGrid>
      <w:tr>
        <w:trPr>
          <w:tblHeader w:val="true"/>
          <w:cantSplit w:val="true"/>
        </w:trPr>
        <w:tc>
          <w:tcPr>
            <w:tcW w:type="dxa" w:w="2232"/>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المرحلة</w:t>
            </w:r>
          </w:p>
        </w:tc>
        <w:tc>
          <w:tcPr>
            <w:tcW w:type="dxa" w:w="3888"/>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ما يحدث</w:t>
            </w:r>
          </w:p>
        </w:tc>
        <w:tc>
          <w:tcPr>
            <w:tcW w:type="dxa" w:w="3168"/>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القيمة الإدارية</w:t>
            </w:r>
          </w:p>
        </w:tc>
      </w:tr>
      <w:tr>
        <w:trPr>
          <w:cantSplit w:val="true"/>
        </w:trPr>
        <w:tc>
          <w:tcPr>
            <w:tcW w:type="dxa" w:w="2232"/>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New Application</w:t>
            </w:r>
          </w:p>
        </w:tc>
        <w:tc>
          <w:tcPr>
            <w:tcW w:type="dxa" w:w="388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إنشاء سجل من الموقع.</w:t>
            </w:r>
          </w:p>
        </w:tc>
        <w:tc>
          <w:tcPr>
            <w:tcW w:type="dxa" w:w="316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عدم ضياع الطلب وتوحيد نقطة الدخول.</w:t>
            </w:r>
          </w:p>
        </w:tc>
      </w:tr>
      <w:tr>
        <w:trPr>
          <w:cantSplit w:val="true"/>
        </w:trPr>
        <w:tc>
          <w:tcPr>
            <w:tcW w:type="dxa" w:w="2232"/>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Contacted</w:t>
            </w:r>
          </w:p>
        </w:tc>
        <w:tc>
          <w:tcPr>
            <w:tcW w:type="dxa" w:w="388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تسجيل محاولة/نتيجة التواصل.</w:t>
            </w:r>
          </w:p>
        </w:tc>
        <w:tc>
          <w:tcPr>
            <w:tcW w:type="dxa" w:w="316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قياس سرعة الاستجابة.</w:t>
            </w:r>
          </w:p>
        </w:tc>
      </w:tr>
      <w:tr>
        <w:trPr>
          <w:cantSplit w:val="true"/>
        </w:trPr>
        <w:tc>
          <w:tcPr>
            <w:tcW w:type="dxa" w:w="2232"/>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Assessment Scheduled</w:t>
            </w:r>
          </w:p>
        </w:tc>
        <w:tc>
          <w:tcPr>
            <w:tcW w:type="dxa" w:w="388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تحديد موعد اختبار أو مقابلة.</w:t>
            </w:r>
          </w:p>
        </w:tc>
        <w:tc>
          <w:tcPr>
            <w:tcW w:type="dxa" w:w="316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تنظيم المواعيد والمتابعة.</w:t>
            </w:r>
          </w:p>
        </w:tc>
      </w:tr>
      <w:tr>
        <w:trPr>
          <w:cantSplit w:val="true"/>
        </w:trPr>
        <w:tc>
          <w:tcPr>
            <w:tcW w:type="dxa" w:w="2232"/>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Assessment Result</w:t>
            </w:r>
          </w:p>
        </w:tc>
        <w:tc>
          <w:tcPr>
            <w:tcW w:type="dxa" w:w="388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تسجيل النتيجة والملاحظات.</w:t>
            </w:r>
          </w:p>
        </w:tc>
        <w:tc>
          <w:tcPr>
            <w:tcW w:type="dxa" w:w="316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قرار مبني على بيانات موحدة.</w:t>
            </w:r>
          </w:p>
        </w:tc>
      </w:tr>
      <w:tr>
        <w:trPr>
          <w:cantSplit w:val="true"/>
        </w:trPr>
        <w:tc>
          <w:tcPr>
            <w:tcW w:type="dxa" w:w="2232"/>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Documents Pending</w:t>
            </w:r>
          </w:p>
        </w:tc>
        <w:tc>
          <w:tcPr>
            <w:tcW w:type="dxa" w:w="388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متابعة المستندات المطلوبة.</w:t>
            </w:r>
          </w:p>
        </w:tc>
        <w:tc>
          <w:tcPr>
            <w:tcW w:type="dxa" w:w="316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تقليل الملفات الناقصة.</w:t>
            </w:r>
          </w:p>
        </w:tc>
      </w:tr>
      <w:tr>
        <w:trPr>
          <w:cantSplit w:val="true"/>
        </w:trPr>
        <w:tc>
          <w:tcPr>
            <w:tcW w:type="dxa" w:w="2232"/>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Fees / Registration</w:t>
            </w:r>
          </w:p>
        </w:tc>
        <w:tc>
          <w:tcPr>
            <w:tcW w:type="dxa" w:w="388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استكمال الرسوم وإجراءات القيد.</w:t>
            </w:r>
          </w:p>
        </w:tc>
        <w:tc>
          <w:tcPr>
            <w:tcW w:type="dxa" w:w="316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إغلاق دورة القبول بشكل منظم.</w:t>
            </w:r>
          </w:p>
        </w:tc>
      </w:tr>
      <w:tr>
        <w:trPr>
          <w:cantSplit w:val="true"/>
        </w:trPr>
        <w:tc>
          <w:tcPr>
            <w:tcW w:type="dxa" w:w="2232"/>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Enrolled / Closed</w:t>
            </w:r>
          </w:p>
        </w:tc>
        <w:tc>
          <w:tcPr>
            <w:tcW w:type="dxa" w:w="388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تأكيد الالتحاق أو إغلاق الطلب.</w:t>
            </w:r>
          </w:p>
        </w:tc>
        <w:tc>
          <w:tcPr>
            <w:tcW w:type="dxa" w:w="316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إحصاءات دقيقة عن التحويل.</w:t>
            </w:r>
          </w:p>
        </w:tc>
      </w:tr>
    </w:tbl>
    <w:p>
      <w:pPr>
        <w:spacing w:after="40"/>
      </w:pPr>
    </w:p>
    <w:p>
      <w:pPr>
        <w:spacing w:after="20"/>
      </w:pP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9. القيمة لكل فئة مستخدم</w:t>
      </w:r>
    </w:p>
    <w:tbl>
      <w:tblPr>
        <w:tblW w:type="auto" w:w="0"/>
        <w:jc w:val="center"/>
        <w:tblLayout w:type="fixed"/>
        <w:tblLook w:firstColumn="1" w:firstRow="1" w:lastColumn="0" w:lastRow="0" w:noHBand="0" w:noVBand="1" w:val="04A0"/>
      </w:tblPr>
      <w:tblGrid>
        <w:gridCol w:w="5184"/>
        <w:gridCol w:w="5184"/>
      </w:tblGrid>
      <w:tr>
        <w:trPr>
          <w:tblHeader w:val="true"/>
          <w:cantSplit w:val="true"/>
        </w:trPr>
        <w:tc>
          <w:tcPr>
            <w:tcW w:type="dxa" w:w="2016"/>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الفئة</w:t>
            </w:r>
          </w:p>
        </w:tc>
        <w:tc>
          <w:tcPr>
            <w:tcW w:type="dxa" w:w="7200"/>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القيمة</w:t>
            </w:r>
          </w:p>
        </w:tc>
      </w:tr>
      <w:tr>
        <w:trPr>
          <w:cantSplit w:val="true"/>
        </w:trPr>
        <w:tc>
          <w:tcPr>
            <w:tcW w:type="dxa" w:w="201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ولي الأمر</w:t>
            </w:r>
          </w:p>
        </w:tc>
        <w:tc>
          <w:tcPr>
            <w:tcW w:type="dxa" w:w="720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معلومات واضحة، خطوات قبول معلنة، تقديم إلكتروني، وسائل تواصل مباشرة، وتجربة ثنائية اللغة.</w:t>
            </w:r>
          </w:p>
        </w:tc>
      </w:tr>
      <w:tr>
        <w:trPr>
          <w:cantSplit w:val="true"/>
        </w:trPr>
        <w:tc>
          <w:tcPr>
            <w:tcW w:type="dxa" w:w="201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فريق القبول</w:t>
            </w:r>
          </w:p>
        </w:tc>
        <w:tc>
          <w:tcPr>
            <w:tcW w:type="dxa" w:w="720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طلبات منظمة تصل إلى نظام متابعة بدل الاعتماد على رسائل متفرقة أو إدخال يدوي.</w:t>
            </w:r>
          </w:p>
        </w:tc>
      </w:tr>
      <w:tr>
        <w:trPr>
          <w:cantSplit w:val="true"/>
        </w:trPr>
        <w:tc>
          <w:tcPr>
            <w:tcW w:type="dxa" w:w="201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الإدارة العليا</w:t>
            </w:r>
          </w:p>
        </w:tc>
        <w:tc>
          <w:tcPr>
            <w:tcW w:type="dxa" w:w="720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إمكانية تحويل البيانات إلى مؤشرات وتقارير ومراقبة الأداء عبر منصة مركزية.</w:t>
            </w:r>
          </w:p>
        </w:tc>
      </w:tr>
      <w:tr>
        <w:trPr>
          <w:cantSplit w:val="true"/>
        </w:trPr>
        <w:tc>
          <w:tcPr>
            <w:tcW w:type="dxa" w:w="201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الحسابات</w:t>
            </w:r>
          </w:p>
        </w:tc>
        <w:tc>
          <w:tcPr>
            <w:tcW w:type="dxa" w:w="720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قابلية ربط إجراءات القبول بالرسوم والمدفوعات عند تفعيل/تطوير الوحدات المالية المناسبة.</w:t>
            </w:r>
          </w:p>
        </w:tc>
      </w:tr>
      <w:tr>
        <w:trPr>
          <w:cantSplit w:val="true"/>
        </w:trPr>
        <w:tc>
          <w:tcPr>
            <w:tcW w:type="dxa" w:w="201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الموارد البشرية</w:t>
            </w:r>
          </w:p>
        </w:tc>
        <w:tc>
          <w:tcPr>
            <w:tcW w:type="dxa" w:w="720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منصة قابلة لإدارة الموظفين والحضور والإجازات والأدوار حسب الوحدات المستخدمة.</w:t>
            </w:r>
          </w:p>
        </w:tc>
      </w:tr>
      <w:tr>
        <w:trPr>
          <w:cantSplit w:val="true"/>
        </w:trPr>
        <w:tc>
          <w:tcPr>
            <w:tcW w:type="dxa" w:w="201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قسم الـ IT</w:t>
            </w:r>
          </w:p>
        </w:tc>
        <w:tc>
          <w:tcPr>
            <w:tcW w:type="dxa" w:w="720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8"/>
                <w:rtl w:val="1"/>
              </w:rPr>
              <w:t>Stack واضح وقابل للصيانة: Laravel للواجهة والتكامل، Odoo للعمليات، وقابلية توسع عبر APIs ووحدات مخصصة.</w:t>
            </w:r>
          </w:p>
        </w:tc>
      </w:tr>
    </w:tbl>
    <w:p>
      <w:pPr>
        <w:spacing w:after="40"/>
      </w:pPr>
    </w:p>
    <w:p>
      <w:pPr>
        <w:keepNext/>
        <w:bidi w:val="1"/>
        <w:spacing w:before="180" w:after="100"/>
        <w:jc w:val="right"/>
      </w:pPr>
      <w:r>
        <w:rPr>
          <w:rFonts w:ascii="Noto Kufi Arabic" w:hAnsi="Noto Kufi Arabic" w:cs="Noto Kufi Arabic" w:eastAsia="Noto Kufi Arabic"/>
          <w:b/>
          <w:color w:val="173B66"/>
          <w:sz w:val="26"/>
          <w:rtl w:val="1"/>
        </w:rPr>
        <w:t>9.1 نقاط القوة الإدارية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تقليل الاعتماد على الإجراءات الورقية والاتصالات غير الموثقة.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رفع قابلية تتبع العمليات والمسؤوليات.</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توحيد مصدر البيانات بدل تعدد النسخ والملفات.</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تحسين سرعة الوصول للمعلومة عند اتخاذ القرار.</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إمكانية بناء KPIs حقيقية مع نمو البيانات.</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تهيئة المدرسة لمزيد من التحول الرقمي دون استبدال المنظومة الأساسية.</w:t>
      </w:r>
    </w:p>
    <w:p>
      <w:pPr>
        <w:keepNext/>
        <w:bidi w:val="1"/>
        <w:spacing w:before="180" w:after="100"/>
        <w:jc w:val="right"/>
      </w:pPr>
      <w:r>
        <w:rPr>
          <w:rFonts w:ascii="Noto Kufi Arabic" w:hAnsi="Noto Kufi Arabic" w:cs="Noto Kufi Arabic" w:eastAsia="Noto Kufi Arabic"/>
          <w:b/>
          <w:color w:val="173B66"/>
          <w:sz w:val="26"/>
          <w:rtl w:val="1"/>
        </w:rPr>
        <w:t>9.2 نقاط القوة التسويقية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الموقع يترجم مزايا المدرسة إلى محتوى يمكن لولي الأمر فهمه قبل الزيارة.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الصور الحقيقية من الحياة المدرسية تعزز المصداقية وتدعم القرار.</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إظهار المراحل والخدمات واللغات والأنشطة في مكان واحد يقلل تشتت الزائر.</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وجود تقديم إلكتروني مباشر يرفع قيمة الموقع من قناة معلومات إلى قناة Lead Generation.</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النسخة الإنجليزية تدعم صورة احترافية وتخدم قسم اللغات.</w:t>
      </w: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10. تحليل تفصيلي لعناصر الثقة والتحويل في الموقع</w:t>
      </w:r>
    </w:p>
    <w:p>
      <w:pPr>
        <w:keepNext/>
        <w:bidi w:val="1"/>
        <w:spacing w:before="180" w:after="100"/>
        <w:jc w:val="right"/>
      </w:pPr>
      <w:r>
        <w:rPr>
          <w:rFonts w:ascii="Noto Kufi Arabic" w:hAnsi="Noto Kufi Arabic" w:cs="Noto Kufi Arabic" w:eastAsia="Noto Kufi Arabic"/>
          <w:b/>
          <w:color w:val="173B66"/>
          <w:sz w:val="26"/>
          <w:rtl w:val="1"/>
        </w:rPr>
        <w:t>10.1 عناصر الثقة</w:t>
      </w:r>
    </w:p>
    <w:tbl>
      <w:tblPr>
        <w:tblW w:type="auto" w:w="0"/>
        <w:jc w:val="center"/>
        <w:tblLayout w:type="fixed"/>
        <w:tblLook w:firstColumn="1" w:firstRow="1" w:lastColumn="0" w:lastRow="0" w:noHBand="0" w:noVBand="1" w:val="04A0"/>
      </w:tblPr>
      <w:tblGrid>
        <w:gridCol w:w="5184"/>
        <w:gridCol w:w="5184"/>
      </w:tblGrid>
      <w:tr>
        <w:trPr>
          <w:tblHeader w:val="true"/>
          <w:cantSplit w:val="true"/>
        </w:trPr>
        <w:tc>
          <w:tcPr>
            <w:tcW w:type="dxa" w:w="2016"/>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العنصر</w:t>
            </w:r>
          </w:p>
        </w:tc>
        <w:tc>
          <w:tcPr>
            <w:tcW w:type="dxa" w:w="7200"/>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كيف يدعم الثقة</w:t>
            </w:r>
          </w:p>
        </w:tc>
      </w:tr>
      <w:tr>
        <w:trPr>
          <w:cantSplit w:val="true"/>
        </w:trPr>
        <w:tc>
          <w:tcPr>
            <w:tcW w:type="dxa" w:w="201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المرافق</w:t>
            </w:r>
          </w:p>
        </w:tc>
        <w:tc>
          <w:tcPr>
            <w:tcW w:type="dxa" w:w="720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ذكر معامل علوم وكمبيوتر ولغات وموسيقى، مكتبة، ملاعب، غرف أنشطة وكانتين.</w:t>
            </w:r>
          </w:p>
        </w:tc>
      </w:tr>
      <w:tr>
        <w:trPr>
          <w:cantSplit w:val="true"/>
        </w:trPr>
        <w:tc>
          <w:tcPr>
            <w:tcW w:type="dxa" w:w="201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التكنولوجيا</w:t>
            </w:r>
          </w:p>
        </w:tc>
        <w:tc>
          <w:tcPr>
            <w:tcW w:type="dxa" w:w="720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إنترنت كامل للفصول، أدوات عرض وSmart Board.</w:t>
            </w:r>
          </w:p>
        </w:tc>
      </w:tr>
      <w:tr>
        <w:trPr>
          <w:cantSplit w:val="true"/>
        </w:trPr>
        <w:tc>
          <w:tcPr>
            <w:tcW w:type="dxa" w:w="201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الأمان</w:t>
            </w:r>
          </w:p>
        </w:tc>
        <w:tc>
          <w:tcPr>
            <w:tcW w:type="dxa" w:w="720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باصات مزودة بكاميرات وتغطية كاميرات داخل المدرسة والمرافق.</w:t>
            </w:r>
          </w:p>
        </w:tc>
      </w:tr>
      <w:tr>
        <w:trPr>
          <w:cantSplit w:val="true"/>
        </w:trPr>
        <w:tc>
          <w:tcPr>
            <w:tcW w:type="dxa" w:w="201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الرعاية</w:t>
            </w:r>
          </w:p>
        </w:tc>
        <w:tc>
          <w:tcPr>
            <w:tcW w:type="dxa" w:w="720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وجود أخصائي اجتماعي ومشرف نفسي.</w:t>
            </w:r>
          </w:p>
        </w:tc>
      </w:tr>
      <w:tr>
        <w:trPr>
          <w:cantSplit w:val="true"/>
        </w:trPr>
        <w:tc>
          <w:tcPr>
            <w:tcW w:type="dxa" w:w="201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الكثافة</w:t>
            </w:r>
          </w:p>
        </w:tc>
        <w:tc>
          <w:tcPr>
            <w:tcW w:type="dxa" w:w="720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الموقع يذكر متوسطًا يقارب 30 طالبًا في الفصول العربية واللغات.</w:t>
            </w:r>
          </w:p>
        </w:tc>
      </w:tr>
      <w:tr>
        <w:trPr>
          <w:cantSplit w:val="true"/>
        </w:trPr>
        <w:tc>
          <w:tcPr>
            <w:tcW w:type="dxa" w:w="2016"/>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الأنشطة</w:t>
            </w:r>
          </w:p>
        </w:tc>
        <w:tc>
          <w:tcPr>
            <w:tcW w:type="dxa" w:w="7200"/>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أنشطة رياضية وفنية ومهارية، حفل تخرج، UC Math.</w:t>
            </w:r>
          </w:p>
        </w:tc>
      </w:tr>
      <w:tr>
        <w:trPr>
          <w:cantSplit w:val="true"/>
        </w:trPr>
        <w:tc>
          <w:tcPr>
            <w:tcW w:type="dxa" w:w="2016"/>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اللغات</w:t>
            </w:r>
          </w:p>
        </w:tc>
        <w:tc>
          <w:tcPr>
            <w:tcW w:type="dxa" w:w="7200"/>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الإنجليزية والفرنسية والألمانية ضمن التجربة التعليمية.</w:t>
            </w:r>
          </w:p>
        </w:tc>
      </w:tr>
    </w:tbl>
    <w:p>
      <w:pPr>
        <w:spacing w:after="40"/>
      </w:pPr>
    </w:p>
    <w:p>
      <w:pPr>
        <w:keepNext/>
        <w:bidi w:val="1"/>
        <w:spacing w:before="180" w:after="100"/>
        <w:jc w:val="right"/>
      </w:pPr>
      <w:r>
        <w:rPr>
          <w:rFonts w:ascii="Noto Kufi Arabic" w:hAnsi="Noto Kufi Arabic" w:cs="Noto Kufi Arabic" w:eastAsia="Noto Kufi Arabic"/>
          <w:b/>
          <w:color w:val="173B66"/>
          <w:sz w:val="26"/>
          <w:rtl w:val="1"/>
        </w:rPr>
        <w:t>10.2 عناصر التحويل Conversion</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CTA واضح للتقديم والتواصل في أكثر من موضع.</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نموذج تقديم طويل بما يكفي لجمع بيانات مفيدة، لكنه يظل مفهومًا ومقسمًا منطقيًا.</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إظهار ما سيحدث بعد الإرسال يقلل الغموض.</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توفير الهاتف والموبايل وWhatsApp يخدم أنماط التواصل المختلفة.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إظهار مواعيد العمل يساعد الزائر على اختيار وقت التواصل أو الزيارة.</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إبقاء تفاصيل المصروفات للتواصل المباشر يحول الزائر المهتم إلى فرصة تواصل قابلة للمتابعة.</w:t>
      </w:r>
    </w:p>
    <w:p>
      <w:pPr>
        <w:keepNext/>
        <w:bidi w:val="1"/>
        <w:spacing w:before="180" w:after="100"/>
        <w:jc w:val="right"/>
      </w:pPr>
      <w:r>
        <w:rPr>
          <w:rFonts w:ascii="Noto Kufi Arabic" w:hAnsi="Noto Kufi Arabic" w:cs="Noto Kufi Arabic" w:eastAsia="Noto Kufi Arabic"/>
          <w:b/>
          <w:color w:val="173B66"/>
          <w:sz w:val="26"/>
          <w:rtl w:val="1"/>
        </w:rPr>
        <w:t>10.3 قوة معرض الصور</w:t>
      </w:r>
    </w:p>
    <w:p>
      <w:pPr>
        <w:jc w:val="center"/>
      </w:pPr>
      <w:r>
        <w:drawing>
          <wp:inline xmlns:a="http://schemas.openxmlformats.org/drawingml/2006/main" xmlns:pic="http://schemas.openxmlformats.org/drawingml/2006/picture">
            <wp:extent cx="6035040" cy="4601718"/>
            <wp:docPr id="5" name="Picture 5"/>
            <wp:cNvGraphicFramePr>
              <a:graphicFrameLocks noChangeAspect="1"/>
            </wp:cNvGraphicFramePr>
            <a:graphic>
              <a:graphicData uri="http://schemas.openxmlformats.org/drawingml/2006/picture">
                <pic:pic>
                  <pic:nvPicPr>
                    <pic:cNvPr id="0" name="rms_school_activity.jpeg"/>
                    <pic:cNvPicPr/>
                  </pic:nvPicPr>
                  <pic:blipFill>
                    <a:blip r:embed="rId17"/>
                    <a:stretch>
                      <a:fillRect/>
                    </a:stretch>
                  </pic:blipFill>
                  <pic:spPr>
                    <a:xfrm>
                      <a:off x="0" y="0"/>
                      <a:ext cx="6035040" cy="4601718"/>
                    </a:xfrm>
                    <a:prstGeom prst="rect"/>
                  </pic:spPr>
                </pic:pic>
              </a:graphicData>
            </a:graphic>
          </wp:inline>
        </w:drawing>
      </w:r>
    </w:p>
    <w:p>
      <w:pPr>
        <w:bidi w:val="1"/>
        <w:spacing w:before="0" w:after="100" w:line="283" w:lineRule="auto"/>
        <w:jc w:val="right"/>
      </w:pPr>
      <w:r>
        <w:rPr>
          <w:rFonts w:ascii="Noto Sans Arabic" w:hAnsi="Noto Sans Arabic" w:cs="Noto Sans Arabic" w:eastAsia="Noto Sans Arabic"/>
          <w:b w:val="0"/>
          <w:color w:val="1F2937"/>
          <w:sz w:val="21"/>
          <w:rtl w:val="1"/>
        </w:rPr>
        <w:t>معرض الصور ليس عنصرًا تجميليًا فقط؛ هو وسيلة لإثبات وجود حياة مدرسية حقيقية وإظهار الطلاب والأنشطة والبيئة التعليمية. بالنسبة لأولياء الأمور، الصور الواقعية تخدم الثقة أكثر من النصوص التسويقية وحدها.</w:t>
      </w: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11. عوامل التميز في الحل ككل</w:t>
      </w: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1</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منظومة وليست موقعًا فقط — </w:t>
            </w:r>
            <w:r>
              <w:rPr>
                <w:rFonts w:ascii="Noto Sans Arabic" w:hAnsi="Noto Sans Arabic" w:cs="Noto Sans Arabic" w:eastAsia="Noto Sans Arabic"/>
                <w:b w:val="0"/>
                <w:color w:val="1F2937"/>
                <w:sz w:val="20"/>
                <w:rtl w:val="1"/>
              </w:rPr>
              <w:t>الموقع جزء من دورة التشغيل، وليس مجرد واجهة تعريفية.</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2</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Front Office مخصص + Back Office مؤسسي — </w:t>
            </w:r>
            <w:r>
              <w:rPr>
                <w:rFonts w:ascii="Noto Sans Arabic" w:hAnsi="Noto Sans Arabic" w:cs="Noto Sans Arabic" w:eastAsia="Noto Sans Arabic"/>
                <w:b w:val="0"/>
                <w:color w:val="1F2937"/>
                <w:sz w:val="20"/>
                <w:rtl w:val="1"/>
              </w:rPr>
              <w:t>Laravel يمنح حرية تصميم تجربة الجمهور، وOdoo يمنح إدارة داخلية منظمة.</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3</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تكامل قابل للتوسع — </w:t>
            </w:r>
            <w:r>
              <w:rPr>
                <w:rFonts w:ascii="Noto Sans Arabic" w:hAnsi="Noto Sans Arabic" w:cs="Noto Sans Arabic" w:eastAsia="Noto Sans Arabic"/>
                <w:b w:val="0"/>
                <w:color w:val="1F2937"/>
                <w:sz w:val="20"/>
                <w:rtl w:val="1"/>
              </w:rPr>
              <w:t>النموذج يسمح بإضافة قنوات جديدة مثل تطبيق أو بوابة أو رسائل دون هدم النظام.</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4</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بيانات منظمة منذ أول نقطة اتصال — </w:t>
            </w:r>
            <w:r>
              <w:rPr>
                <w:rFonts w:ascii="Noto Sans Arabic" w:hAnsi="Noto Sans Arabic" w:cs="Noto Sans Arabic" w:eastAsia="Noto Sans Arabic"/>
                <w:b w:val="0"/>
                <w:color w:val="1F2937"/>
                <w:sz w:val="20"/>
                <w:rtl w:val="1"/>
              </w:rPr>
              <w:t>طلب القبول يبدأ بحقول منظمة يمكن تحويلها مباشرة إلى سجل متابعة.</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5</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صلاحيات وقواعد وصول — </w:t>
            </w:r>
            <w:r>
              <w:rPr>
                <w:rFonts w:ascii="Noto Sans Arabic" w:hAnsi="Noto Sans Arabic" w:cs="Noto Sans Arabic" w:eastAsia="Noto Sans Arabic"/>
                <w:b w:val="0"/>
                <w:color w:val="1F2937"/>
                <w:sz w:val="20"/>
                <w:rtl w:val="1"/>
              </w:rPr>
              <w:t>Odoo يوفر أساسًا قويًا لفصل مسؤوليات الأقسام والمستخدمين.</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6</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قابلية بناء تقارير — </w:t>
            </w:r>
            <w:r>
              <w:rPr>
                <w:rFonts w:ascii="Noto Sans Arabic" w:hAnsi="Noto Sans Arabic" w:cs="Noto Sans Arabic" w:eastAsia="Noto Sans Arabic"/>
                <w:b w:val="0"/>
                <w:color w:val="1F2937"/>
                <w:sz w:val="20"/>
                <w:rtl w:val="1"/>
              </w:rPr>
              <w:t>كلما زادت البيانات المنظمة، أصبح من الممكن قياس الأداء بدل الاعتماد على الانطباعات.</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7</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دعم العربية والإنجليزية — </w:t>
            </w:r>
            <w:r>
              <w:rPr>
                <w:rFonts w:ascii="Noto Sans Arabic" w:hAnsi="Noto Sans Arabic" w:cs="Noto Sans Arabic" w:eastAsia="Noto Sans Arabic"/>
                <w:b w:val="0"/>
                <w:color w:val="1F2937"/>
                <w:sz w:val="20"/>
                <w:rtl w:val="1"/>
              </w:rPr>
              <w:t>مناسب لطبيعة المدرسة وأقسامها وشرائح أولياء الأمور.</w:t>
            </w:r>
          </w:p>
        </w:tc>
      </w:tr>
    </w:tbl>
    <w:p>
      <w:pPr>
        <w:spacing w:after="20"/>
      </w:pPr>
    </w:p>
    <w:tbl>
      <w:tblPr>
        <w:tblW w:type="auto" w:w="0"/>
        <w:jc w:val="center"/>
        <w:tblLayout w:type="fixed"/>
        <w:tblLook w:firstColumn="1" w:firstRow="1" w:lastColumn="0" w:lastRow="0" w:noHBand="0" w:noVBand="1" w:val="04A0"/>
      </w:tblPr>
      <w:tblGrid>
        <w:gridCol w:w="792"/>
        <w:gridCol w:w="8568"/>
      </w:tblGrid>
      <w:tr>
        <w:trPr>
          <w:cantSplit w:val="true"/>
        </w:trPr>
        <w:tc>
          <w:tcPr>
            <w:tcW w:type="dxa" w:w="5184"/>
            <w:shd w:fill="0B2A53"/>
            <w:tcMar>
              <w:top w:w="80" w:type="dxa"/>
              <w:start w:w="100" w:type="dxa"/>
              <w:bottom w:w="80" w:type="dxa"/>
              <w:end w:w="100" w:type="dxa"/>
            </w:tcMar>
            <w:vAlign w:val="center"/>
          </w:tcPr>
          <w:p>
            <w:pPr>
              <w:jc w:val="center"/>
            </w:pPr>
            <w:r>
              <w:rPr>
                <w:rFonts w:ascii="Noto Kufi Arabic" w:hAnsi="Noto Kufi Arabic" w:cs="Noto Kufi Arabic" w:eastAsia="Noto Kufi Arabic"/>
                <w:b/>
                <w:color w:val="FFFFFF"/>
                <w:sz w:val="24"/>
                <w:rtl w:val="1"/>
              </w:rPr>
              <w:t>8</w:t>
            </w:r>
          </w:p>
        </w:tc>
        <w:tc>
          <w:tcPr>
            <w:tcW w:type="dxa" w:w="5184"/>
            <w:shd w:fill="F3F6F9"/>
            <w:tcMar>
              <w:top w:w="80" w:type="dxa"/>
              <w:start w:w="100" w:type="dxa"/>
              <w:bottom w:w="80" w:type="dxa"/>
              <w:end w:w="100" w:type="dxa"/>
            </w:tcMar>
            <w:vAlign w:val="center"/>
          </w:tcPr>
          <w:p>
            <w:pPr>
              <w:bidi w:val="1"/>
              <w:jc w:val="right"/>
            </w:pPr>
            <w:r>
              <w:rPr>
                <w:rFonts w:ascii="Noto Sans Arabic" w:hAnsi="Noto Sans Arabic" w:cs="Noto Sans Arabic" w:eastAsia="Noto Sans Arabic"/>
                <w:b/>
                <w:color w:val="0B2A53"/>
                <w:sz w:val="21"/>
                <w:rtl w:val="1"/>
              </w:rPr>
              <w:t xml:space="preserve">قابلية تخصيص طويلة الأجل — </w:t>
            </w:r>
            <w:r>
              <w:rPr>
                <w:rFonts w:ascii="Noto Sans Arabic" w:hAnsi="Noto Sans Arabic" w:cs="Noto Sans Arabic" w:eastAsia="Noto Sans Arabic"/>
                <w:b w:val="0"/>
                <w:color w:val="1F2937"/>
                <w:sz w:val="20"/>
                <w:rtl w:val="1"/>
              </w:rPr>
              <w:t>كل من Laravel وOdoo يدعمان تطويرًا مستمرًا وتكاملات ووظائف إضافية.</w:t>
            </w:r>
          </w:p>
        </w:tc>
      </w:tr>
    </w:tbl>
    <w:p>
      <w:pPr>
        <w:spacing w:after="20"/>
      </w:pPr>
    </w:p>
    <w:p>
      <w:pPr>
        <w:keepNext/>
        <w:bidi w:val="1"/>
        <w:spacing w:before="180" w:after="100"/>
        <w:jc w:val="right"/>
      </w:pPr>
      <w:r>
        <w:rPr>
          <w:rFonts w:ascii="Noto Kufi Arabic" w:hAnsi="Noto Kufi Arabic" w:cs="Noto Kufi Arabic" w:eastAsia="Noto Kufi Arabic"/>
          <w:b/>
          <w:color w:val="173B66"/>
          <w:sz w:val="26"/>
          <w:rtl w:val="1"/>
        </w:rPr>
        <w:t>11.1 كيف يُقدَّم المشروع كسابقة أعمال</w:t>
      </w:r>
    </w:p>
    <w:tbl>
      <w:tblPr>
        <w:tblW w:type="auto" w:w="0"/>
        <w:jc w:val="center"/>
        <w:tblLayout w:type="autofit"/>
        <w:tblLook w:firstColumn="1" w:firstRow="1" w:lastColumn="0" w:lastRow="0" w:noHBand="0" w:noVBand="1" w:val="04A0"/>
      </w:tblPr>
      <w:tblGrid>
        <w:gridCol w:w="10368"/>
      </w:tblGrid>
      <w:tr>
        <w:trPr>
          <w:cantSplit w:val="true"/>
        </w:trPr>
        <w:tc>
          <w:tcPr>
            <w:tcW w:type="dxa" w:w="10368"/>
            <w:shd w:fill="EEF7F1"/>
            <w:tcMar>
              <w:top w:w="140" w:type="dxa"/>
              <w:start w:w="160" w:type="dxa"/>
              <w:bottom w:w="140" w:type="dxa"/>
              <w:end w:w="160" w:type="dxa"/>
            </w:tcMar>
            <w:tcBorders>
              <w:start w:val="single" w:sz="20" w:color="26734D"/>
            </w:tcBorders>
          </w:tcPr>
          <w:p>
            <w:pPr>
              <w:bidi w:val="1"/>
              <w:jc w:val="right"/>
            </w:pPr>
            <w:r>
              <w:rPr>
                <w:rFonts w:ascii="Noto Kufi Arabic" w:hAnsi="Noto Kufi Arabic" w:cs="Noto Kufi Arabic" w:eastAsia="Noto Kufi Arabic"/>
                <w:b/>
                <w:color w:val="0B2A53"/>
                <w:sz w:val="23"/>
                <w:rtl w:val="1"/>
              </w:rPr>
              <w:t>صياغة مقترحة</w:t>
              <w:br/>
            </w:r>
            <w:r>
              <w:rPr>
                <w:rFonts w:ascii="Noto Sans Arabic" w:hAnsi="Noto Sans Arabic" w:cs="Noto Sans Arabic" w:eastAsia="Noto Sans Arabic"/>
                <w:b w:val="0"/>
                <w:color w:val="1F2937"/>
                <w:sz w:val="20"/>
                <w:rtl w:val="1"/>
              </w:rPr>
              <w:t>منظومة رقمية متكاملة لمدارس Renaissance Misr تجمع بين موقع مؤسسي ثنائي اللغة مبني على Laravel ونظام إدارة داخلي مبني على Odoo 17. تم تصميم رحلة قبول إلكترونية تربط نموذج التقديم مباشرة بمنظومة المتابعة، مع بنية قابلة للتوسع لإدارة البيانات والصلاحيات والتقارير والعمليات المدرسية.</w:t>
            </w:r>
          </w:p>
        </w:tc>
      </w:tr>
    </w:tbl>
    <w:p>
      <w:pPr>
        <w:spacing w:after="20"/>
      </w:pPr>
    </w:p>
    <w:p>
      <w:pPr>
        <w:bidi w:val="1"/>
        <w:spacing w:before="0" w:after="100" w:line="283" w:lineRule="auto"/>
        <w:jc w:val="right"/>
      </w:pPr>
      <w:r>
        <w:rPr>
          <w:rFonts w:ascii="Noto Sans Arabic" w:hAnsi="Noto Sans Arabic" w:cs="Noto Sans Arabic" w:eastAsia="Noto Sans Arabic"/>
          <w:b w:val="0"/>
          <w:color w:val="1F2937"/>
          <w:sz w:val="21"/>
          <w:rtl w:val="1"/>
        </w:rPr>
        <w:t>هذه الصياغة تركز على النتيجة والقيمة، وليس فقط على أسماء التقنيات. في سابقة الأعمال، الأفضل إبراز كيف تحولت التقنية إلى Workflow واضح يختصر الوقت ويزيد قابلية المتابعة.</w:t>
      </w: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12. قابلية التطوير والتوسع مستقبلًا</w:t>
      </w:r>
    </w:p>
    <w:p>
      <w:pPr>
        <w:bidi w:val="1"/>
        <w:spacing w:before="0" w:after="100" w:line="283" w:lineRule="auto"/>
        <w:jc w:val="right"/>
      </w:pPr>
      <w:r>
        <w:rPr>
          <w:rFonts w:ascii="Noto Sans Arabic" w:hAnsi="Noto Sans Arabic" w:cs="Noto Sans Arabic" w:eastAsia="Noto Sans Arabic"/>
          <w:b w:val="0"/>
          <w:color w:val="1F2937"/>
          <w:sz w:val="21"/>
          <w:rtl w:val="1"/>
        </w:rPr>
        <w:t>البنية الحالية مناسبة لأن تكون أساسًا لمراحل أوسع من التحول الرقمي. وجود Laravel في الواجهة وOdoo في الخلفية يتيح إضافة خدمات تدريجية دون الحاجة إلى إعادة بناء المنظومة بالكامل.</w:t>
      </w:r>
    </w:p>
    <w:tbl>
      <w:tblPr>
        <w:tblW w:type="auto" w:w="0"/>
        <w:jc w:val="center"/>
        <w:tblLayout w:type="fixed"/>
        <w:tblLook w:firstColumn="1" w:firstRow="1" w:lastColumn="0" w:lastRow="0" w:noHBand="0" w:noVBand="1" w:val="04A0"/>
      </w:tblPr>
      <w:tblGrid>
        <w:gridCol w:w="5184"/>
        <w:gridCol w:w="5184"/>
      </w:tblGrid>
      <w:tr>
        <w:trPr>
          <w:tblHeader w:val="true"/>
          <w:cantSplit w:val="true"/>
        </w:trPr>
        <w:tc>
          <w:tcPr>
            <w:tcW w:type="dxa" w:w="2448"/>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التوسع</w:t>
            </w:r>
          </w:p>
        </w:tc>
        <w:tc>
          <w:tcPr>
            <w:tcW w:type="dxa" w:w="6768"/>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القيمة</w:t>
            </w:r>
          </w:p>
        </w:tc>
      </w:tr>
      <w:tr>
        <w:trPr>
          <w:cantSplit w:val="true"/>
        </w:trPr>
        <w:tc>
          <w:tcPr>
            <w:tcW w:type="dxa" w:w="244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بوابة ولي الأمر</w:t>
            </w:r>
          </w:p>
        </w:tc>
        <w:tc>
          <w:tcPr>
            <w:tcW w:type="dxa" w:w="676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عرض حالة التقديم، المستندات، المواعيد، الرسائل، وربما المدفوعات والنتائج بحسب السياسات.</w:t>
            </w:r>
          </w:p>
        </w:tc>
      </w:tr>
      <w:tr>
        <w:trPr>
          <w:cantSplit w:val="true"/>
        </w:trPr>
        <w:tc>
          <w:tcPr>
            <w:tcW w:type="dxa" w:w="244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تطبيق موبايل</w:t>
            </w:r>
          </w:p>
        </w:tc>
        <w:tc>
          <w:tcPr>
            <w:tcW w:type="dxa" w:w="676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استخدام API للوصول إلى خدمات محددة من الهاتف.</w:t>
            </w:r>
          </w:p>
        </w:tc>
      </w:tr>
      <w:tr>
        <w:trPr>
          <w:cantSplit w:val="true"/>
        </w:trPr>
        <w:tc>
          <w:tcPr>
            <w:tcW w:type="dxa" w:w="244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إشعارات تلقائية</w:t>
            </w:r>
          </w:p>
        </w:tc>
        <w:tc>
          <w:tcPr>
            <w:tcW w:type="dxa" w:w="676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إرسال بريد/SMS/WhatsApp عند تغيير حالة الطلب أو تحديد موعد.</w:t>
            </w:r>
          </w:p>
        </w:tc>
      </w:tr>
      <w:tr>
        <w:trPr>
          <w:cantSplit w:val="true"/>
        </w:trPr>
        <w:tc>
          <w:tcPr>
            <w:tcW w:type="dxa" w:w="244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Dashboard للإدارة</w:t>
            </w:r>
          </w:p>
        </w:tc>
        <w:tc>
          <w:tcPr>
            <w:tcW w:type="dxa" w:w="676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مؤشرات القبول ومصادر الطلبات وسرعة الاستجابة والتحويل.</w:t>
            </w:r>
          </w:p>
        </w:tc>
      </w:tr>
      <w:tr>
        <w:trPr>
          <w:cantSplit w:val="true"/>
        </w:trPr>
        <w:tc>
          <w:tcPr>
            <w:tcW w:type="dxa" w:w="244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Document Workflow</w:t>
            </w:r>
          </w:p>
        </w:tc>
        <w:tc>
          <w:tcPr>
            <w:tcW w:type="dxa" w:w="676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رفع المستندات وربطها بالطالب أو الطلب ومراجعة اكتمال الملف.</w:t>
            </w:r>
          </w:p>
        </w:tc>
      </w:tr>
      <w:tr>
        <w:trPr>
          <w:cantSplit w:val="true"/>
        </w:trPr>
        <w:tc>
          <w:tcPr>
            <w:tcW w:type="dxa" w:w="244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Payment Integration</w:t>
            </w:r>
          </w:p>
        </w:tc>
        <w:tc>
          <w:tcPr>
            <w:tcW w:type="dxa" w:w="676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إضافة دفع إلكتروني أو تسجيل مدفوعات وربطها بالحالة المالية.</w:t>
            </w:r>
          </w:p>
        </w:tc>
      </w:tr>
      <w:tr>
        <w:trPr>
          <w:cantSplit w:val="true"/>
        </w:trPr>
        <w:tc>
          <w:tcPr>
            <w:tcW w:type="dxa" w:w="244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Transportation</w:t>
            </w:r>
          </w:p>
        </w:tc>
        <w:tc>
          <w:tcPr>
            <w:tcW w:type="dxa" w:w="676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إدارة بيانات الباصات والخطوط والطلاب وربطها بملف الطالب.</w:t>
            </w:r>
          </w:p>
        </w:tc>
      </w:tr>
      <w:tr>
        <w:trPr>
          <w:cantSplit w:val="true"/>
        </w:trPr>
        <w:tc>
          <w:tcPr>
            <w:tcW w:type="dxa" w:w="244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Academic Modules</w:t>
            </w:r>
          </w:p>
        </w:tc>
        <w:tc>
          <w:tcPr>
            <w:tcW w:type="dxa" w:w="676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إضافة وحدات للحضور والدرجات والجداول والمتابعة التعليمية حسب الحاجة.</w:t>
            </w:r>
          </w:p>
        </w:tc>
      </w:tr>
      <w:tr>
        <w:trPr>
          <w:cantSplit w:val="true"/>
        </w:trPr>
        <w:tc>
          <w:tcPr>
            <w:tcW w:type="dxa" w:w="244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Marketing Attribution</w:t>
            </w:r>
          </w:p>
        </w:tc>
        <w:tc>
          <w:tcPr>
            <w:tcW w:type="dxa" w:w="676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تسجيل مصدر الطلب والحملة وتحليل القنوات التي تجلب أفضل متقدمين.</w:t>
            </w:r>
          </w:p>
        </w:tc>
      </w:tr>
    </w:tbl>
    <w:p>
      <w:pPr>
        <w:spacing w:after="40"/>
      </w:pPr>
    </w:p>
    <w:tbl>
      <w:tblPr>
        <w:tblW w:type="auto" w:w="0"/>
        <w:jc w:val="center"/>
        <w:tblLayout w:type="autofit"/>
        <w:tblLook w:firstColumn="1" w:firstRow="1" w:lastColumn="0" w:lastRow="0" w:noHBand="0" w:noVBand="1" w:val="04A0"/>
      </w:tblPr>
      <w:tblGrid>
        <w:gridCol w:w="10368"/>
      </w:tblGrid>
      <w:tr>
        <w:trPr>
          <w:cantSplit w:val="true"/>
        </w:trPr>
        <w:tc>
          <w:tcPr>
            <w:tcW w:type="dxa" w:w="10368"/>
            <w:shd w:fill="EEF4FA"/>
            <w:tcMar>
              <w:top w:w="140" w:type="dxa"/>
              <w:start w:w="160" w:type="dxa"/>
              <w:bottom w:w="140" w:type="dxa"/>
              <w:end w:w="160" w:type="dxa"/>
            </w:tcMar>
            <w:tcBorders>
              <w:start w:val="single" w:sz="20" w:color="173B66"/>
            </w:tcBorders>
          </w:tcPr>
          <w:p>
            <w:pPr>
              <w:bidi w:val="1"/>
              <w:jc w:val="right"/>
            </w:pPr>
            <w:r>
              <w:rPr>
                <w:rFonts w:ascii="Noto Kufi Arabic" w:hAnsi="Noto Kufi Arabic" w:cs="Noto Kufi Arabic" w:eastAsia="Noto Kufi Arabic"/>
                <w:b/>
                <w:color w:val="0B2A53"/>
                <w:sz w:val="23"/>
                <w:rtl w:val="1"/>
              </w:rPr>
              <w:t>نقطة معمارية</w:t>
              <w:br/>
            </w:r>
            <w:r>
              <w:rPr>
                <w:rFonts w:ascii="Noto Sans Arabic" w:hAnsi="Noto Sans Arabic" w:cs="Noto Sans Arabic" w:eastAsia="Noto Sans Arabic"/>
                <w:b w:val="0"/>
                <w:color w:val="1F2937"/>
                <w:sz w:val="20"/>
                <w:rtl w:val="1"/>
              </w:rPr>
              <w:t>استخدام API كحد فاصل بين الموقع والنظام يجعل أي توسع جديد أكثر أمانًا وتنظيمًا من الربط المباشر بقواعد البيانات، مع إمكانية تطبيق صلاحيات والتحقق من المدخلات.</w:t>
            </w:r>
          </w:p>
        </w:tc>
      </w:tr>
    </w:tbl>
    <w:p>
      <w:pPr>
        <w:spacing w:after="20"/>
      </w:pP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13. تقييم القوة الهندسية للـ Stack</w:t>
      </w:r>
    </w:p>
    <w:tbl>
      <w:tblPr>
        <w:tblW w:type="auto" w:w="0"/>
        <w:jc w:val="center"/>
        <w:tblLayout w:type="fixed"/>
        <w:tblLook w:firstColumn="1" w:firstRow="1" w:lastColumn="0" w:lastRow="0" w:noHBand="0" w:noVBand="1" w:val="04A0"/>
      </w:tblPr>
      <w:tblGrid>
        <w:gridCol w:w="3456"/>
        <w:gridCol w:w="3456"/>
        <w:gridCol w:w="3456"/>
      </w:tblGrid>
      <w:tr>
        <w:trPr>
          <w:tblHeader w:val="true"/>
          <w:cantSplit w:val="true"/>
        </w:trPr>
        <w:tc>
          <w:tcPr>
            <w:tcW w:type="dxa" w:w="1728"/>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المعيار</w:t>
            </w:r>
          </w:p>
        </w:tc>
        <w:tc>
          <w:tcPr>
            <w:tcW w:type="dxa" w:w="3744"/>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Laravel Website</w:t>
            </w:r>
          </w:p>
        </w:tc>
        <w:tc>
          <w:tcPr>
            <w:tcW w:type="dxa" w:w="3744"/>
            <w:shd w:fill="0B2A53"/>
            <w:tcMar>
              <w:top w:w="90" w:type="dxa"/>
              <w:start w:w="90" w:type="dxa"/>
              <w:bottom w:w="90" w:type="dxa"/>
              <w:end w:w="90" w:type="dxa"/>
            </w:tcMar>
            <w:vAlign w:val="center"/>
          </w:tcPr>
          <w:p>
            <w:pPr>
              <w:bidi w:val="1"/>
              <w:jc w:val="center"/>
            </w:pPr>
            <w:r>
              <w:rPr>
                <w:rFonts w:ascii="Noto Kufi Arabic" w:hAnsi="Noto Kufi Arabic" w:cs="Noto Kufi Arabic" w:eastAsia="Noto Kufi Arabic"/>
                <w:b/>
                <w:color w:val="FFFFFF"/>
                <w:sz w:val="18"/>
                <w:rtl w:val="1"/>
              </w:rPr>
              <w:t>Odoo 17 RMS</w:t>
            </w:r>
          </w:p>
        </w:tc>
      </w:tr>
      <w:tr>
        <w:trPr>
          <w:cantSplit w:val="true"/>
        </w:trPr>
        <w:tc>
          <w:tcPr>
            <w:tcW w:type="dxa" w:w="172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المرونة</w:t>
            </w:r>
          </w:p>
        </w:tc>
        <w:tc>
          <w:tcPr>
            <w:tcW w:type="dxa" w:w="374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مرونة عالية في تصميم الواجهة وتجربة المستخدم.</w:t>
            </w:r>
          </w:p>
        </w:tc>
        <w:tc>
          <w:tcPr>
            <w:tcW w:type="dxa" w:w="374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مرونة عالية في نماذج البيانات والـ Workflows والوحدات.</w:t>
            </w:r>
          </w:p>
        </w:tc>
      </w:tr>
      <w:tr>
        <w:trPr>
          <w:cantSplit w:val="true"/>
        </w:trPr>
        <w:tc>
          <w:tcPr>
            <w:tcW w:type="dxa" w:w="172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التخصيص</w:t>
            </w:r>
          </w:p>
        </w:tc>
        <w:tc>
          <w:tcPr>
            <w:tcW w:type="dxa" w:w="3744"/>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ممتاز للواجهات والـ APIs والمنطق المخصص.</w:t>
            </w:r>
          </w:p>
        </w:tc>
        <w:tc>
          <w:tcPr>
            <w:tcW w:type="dxa" w:w="3744"/>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ممتاز للعمليات المؤسسية والتقارير والصلاحيات.</w:t>
            </w:r>
          </w:p>
        </w:tc>
      </w:tr>
      <w:tr>
        <w:trPr>
          <w:cantSplit w:val="true"/>
        </w:trPr>
        <w:tc>
          <w:tcPr>
            <w:tcW w:type="dxa" w:w="172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التكامل</w:t>
            </w:r>
          </w:p>
        </w:tc>
        <w:tc>
          <w:tcPr>
            <w:tcW w:type="dxa" w:w="374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سهولة بناء Services وEndpoints.</w:t>
            </w:r>
          </w:p>
        </w:tc>
        <w:tc>
          <w:tcPr>
            <w:tcW w:type="dxa" w:w="374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External API ودعم تكامل مع تطبيقات خارجية.</w:t>
            </w:r>
          </w:p>
        </w:tc>
      </w:tr>
      <w:tr>
        <w:trPr>
          <w:cantSplit w:val="true"/>
        </w:trPr>
        <w:tc>
          <w:tcPr>
            <w:tcW w:type="dxa" w:w="172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تعدد المستخدمين</w:t>
            </w:r>
          </w:p>
        </w:tc>
        <w:tc>
          <w:tcPr>
            <w:tcW w:type="dxa" w:w="3744"/>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مناسب للواجهات العامة والحسابات عند الحاجة.</w:t>
            </w:r>
          </w:p>
        </w:tc>
        <w:tc>
          <w:tcPr>
            <w:tcW w:type="dxa" w:w="3744"/>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مصمم لبيئة متعددة المستخدمين والأدوار.</w:t>
            </w:r>
          </w:p>
        </w:tc>
      </w:tr>
      <w:tr>
        <w:trPr>
          <w:cantSplit w:val="true"/>
        </w:trPr>
        <w:tc>
          <w:tcPr>
            <w:tcW w:type="dxa" w:w="172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التوسع</w:t>
            </w:r>
          </w:p>
        </w:tc>
        <w:tc>
          <w:tcPr>
            <w:tcW w:type="dxa" w:w="374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يمكن إضافة صفحات وخدمات وقنوات جديدة.</w:t>
            </w:r>
          </w:p>
        </w:tc>
        <w:tc>
          <w:tcPr>
            <w:tcW w:type="dxa" w:w="374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يمكن إضافة Modules وApps ونماذج وتقارير.</w:t>
            </w:r>
          </w:p>
        </w:tc>
      </w:tr>
      <w:tr>
        <w:trPr>
          <w:cantSplit w:val="true"/>
        </w:trPr>
        <w:tc>
          <w:tcPr>
            <w:tcW w:type="dxa" w:w="1728"/>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الصيانة</w:t>
            </w:r>
          </w:p>
        </w:tc>
        <w:tc>
          <w:tcPr>
            <w:tcW w:type="dxa" w:w="3744"/>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هيكل Framework منظم لفريق التطوير.</w:t>
            </w:r>
          </w:p>
        </w:tc>
        <w:tc>
          <w:tcPr>
            <w:tcW w:type="dxa" w:w="3744"/>
            <w:shd w:fill="FFFFFF"/>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نواة ERP مع فصل واضح للوحدات والإضافات.</w:t>
            </w:r>
          </w:p>
        </w:tc>
      </w:tr>
      <w:tr>
        <w:trPr>
          <w:cantSplit w:val="true"/>
        </w:trPr>
        <w:tc>
          <w:tcPr>
            <w:tcW w:type="dxa" w:w="1728"/>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الهوية</w:t>
            </w:r>
          </w:p>
        </w:tc>
        <w:tc>
          <w:tcPr>
            <w:tcW w:type="dxa" w:w="374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حرية كاملة في التصميم البصري.</w:t>
            </w:r>
          </w:p>
        </w:tc>
        <w:tc>
          <w:tcPr>
            <w:tcW w:type="dxa" w:w="3744"/>
            <w:shd w:fill="F8FAFC"/>
            <w:tcMar>
              <w:top w:w="80" w:type="dxa"/>
              <w:start w:w="90" w:type="dxa"/>
              <w:bottom w:w="80" w:type="dxa"/>
              <w:end w:w="90" w:type="dxa"/>
            </w:tcMar>
            <w:vAlign w:val="center"/>
          </w:tcPr>
          <w:p>
            <w:pPr>
              <w:bidi w:val="1"/>
              <w:jc w:val="right"/>
            </w:pPr>
            <w:r>
              <w:rPr>
                <w:rFonts w:ascii="Noto Sans Arabic" w:hAnsi="Noto Sans Arabic" w:cs="Noto Sans Arabic" w:eastAsia="Noto Sans Arabic"/>
                <w:b w:val="0"/>
                <w:color w:val="1F2937"/>
                <w:sz w:val="17"/>
                <w:rtl w:val="1"/>
              </w:rPr>
              <w:t>التركيز الأساسي على التشغيل والبيانات.</w:t>
            </w:r>
          </w:p>
        </w:tc>
      </w:tr>
    </w:tbl>
    <w:p>
      <w:pPr>
        <w:spacing w:after="40"/>
      </w:pPr>
    </w:p>
    <w:p>
      <w:pPr>
        <w:keepNext/>
        <w:bidi w:val="1"/>
        <w:spacing w:before="180" w:after="100"/>
        <w:jc w:val="right"/>
      </w:pPr>
      <w:r>
        <w:rPr>
          <w:rFonts w:ascii="Noto Kufi Arabic" w:hAnsi="Noto Kufi Arabic" w:cs="Noto Kufi Arabic" w:eastAsia="Noto Kufi Arabic"/>
          <w:b/>
          <w:color w:val="173B66"/>
          <w:sz w:val="26"/>
          <w:rtl w:val="1"/>
        </w:rPr>
        <w:t>13.1 لماذا الدمج مناسب لقطاع التعليم؟</w:t>
      </w:r>
    </w:p>
    <w:p>
      <w:pPr>
        <w:bidi w:val="1"/>
        <w:spacing w:before="0" w:after="100" w:line="283" w:lineRule="auto"/>
        <w:jc w:val="right"/>
      </w:pPr>
      <w:r>
        <w:rPr>
          <w:rFonts w:ascii="Noto Sans Arabic" w:hAnsi="Noto Sans Arabic" w:cs="Noto Sans Arabic" w:eastAsia="Noto Sans Arabic"/>
          <w:b w:val="0"/>
          <w:color w:val="1F2937"/>
          <w:sz w:val="21"/>
          <w:rtl w:val="1"/>
        </w:rPr>
        <w:t>المدرسة تحتاج في نفس الوقت إلى واجهة عامة جذابة وسهلة لولي الأمر، وإلى نظام داخلي قادر على التعامل مع بيانات متعددة ومسؤوليات وصلاحيات وتقارير. الاعتماد على منصة واحدة لكل شيء غالبًا يفرض تنازلات؛ أما الفصل بين Laravel وOdoo فيتيح استخدام كل تقنية فيما تتفوق فيه.</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Laravel: تجربة الجمهور، الهوية، المحتوى، النماذج، التكامل.</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Odoo: العمليات، البيانات، الأدوار، المتابعة، التوسع المؤسسي.</w:t>
      </w:r>
    </w:p>
    <w:p>
      <w:pPr>
        <w:bidi w:val="1"/>
        <w:spacing w:after="60"/>
        <w:ind w:left="72" w:right="216"/>
        <w:jc w:val="right"/>
      </w:pPr>
      <w:r>
        <w:rPr>
          <w:rFonts w:ascii="Noto Sans Arabic" w:hAnsi="Noto Sans Arabic" w:cs="Noto Sans Arabic" w:eastAsia="Noto Sans Arabic"/>
          <w:b/>
          <w:color w:val="D6A81E"/>
          <w:sz w:val="22"/>
          <w:rtl w:val="1"/>
        </w:rPr>
        <w:t xml:space="preserve">• </w:t>
      </w:r>
      <w:r>
        <w:rPr>
          <w:rFonts w:ascii="Noto Sans Arabic" w:hAnsi="Noto Sans Arabic" w:cs="Noto Sans Arabic" w:eastAsia="Noto Sans Arabic"/>
          <w:b w:val="0"/>
          <w:color w:val="1F2937"/>
          <w:sz w:val="21"/>
          <w:rtl w:val="1"/>
        </w:rPr>
        <w:t>التكامل بينهما: رحلة رقمية واحدة رغم تعدد التقنيات.</w:t>
      </w:r>
    </w:p>
    <w:p>
      <w:r>
        <w:br w:type="page"/>
      </w: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14. الخلاصة النهائية</w:t>
      </w:r>
    </w:p>
    <w:p>
      <w:pPr>
        <w:bidi w:val="1"/>
        <w:spacing w:before="0" w:after="100" w:line="283" w:lineRule="auto"/>
        <w:jc w:val="right"/>
      </w:pPr>
      <w:r>
        <w:rPr>
          <w:rFonts w:ascii="Noto Sans Arabic" w:hAnsi="Noto Sans Arabic" w:cs="Noto Sans Arabic" w:eastAsia="Noto Sans Arabic"/>
          <w:b w:val="0"/>
          <w:color w:val="1F2937"/>
          <w:sz w:val="21"/>
          <w:rtl w:val="1"/>
        </w:rPr>
        <w:t>مشروع RMS يقدم نموذجًا قويًا لمنظومة مدرسية رقمية قابلة للنمو. الموقع الرسمي ينجح في تقديم المدرسة ومراحلها وخدماتها وأنشطتها وسياسات القبول بصورة منظمة، ويدعم العربية والإنجليزية ويوفر قناة تقديم إلكترونية واضحة. في المقابل، توفر طبقة Odoo 17 أساسًا مؤسسيًا لإدارة المستخدمين والصلاحيات والبيانات ومسارات العمل والتكامل.</w:t>
      </w:r>
    </w:p>
    <w:p>
      <w:pPr>
        <w:bidi w:val="1"/>
        <w:spacing w:before="0" w:after="100" w:line="283" w:lineRule="auto"/>
        <w:jc w:val="right"/>
      </w:pPr>
      <w:r>
        <w:rPr>
          <w:rFonts w:ascii="Noto Sans Arabic" w:hAnsi="Noto Sans Arabic" w:cs="Noto Sans Arabic" w:eastAsia="Noto Sans Arabic"/>
          <w:b w:val="0"/>
          <w:color w:val="1F2937"/>
          <w:sz w:val="21"/>
          <w:rtl w:val="1"/>
        </w:rPr>
        <w:t>القيمة الأكبر تظهر في الربط بين الجانبين: ولي الأمر يبدأ من واجهة بسيطة ومفهومة، بينما تتحول بياناته إلى عملية داخلية يمكن إدارتها وقياسها. هذه المعمارية تقلل العمل اليدوي، ترفع قابلية المتابعة، وتوفر أساسًا ممتازًا للتوسع إلى بوابات أولياء الأمور، المدفوعات، المستندات، التقارير، الموارد البشرية، المخزون، والنظم الأكاديمية.</w:t>
      </w:r>
    </w:p>
    <w:tbl>
      <w:tblPr>
        <w:tblW w:type="auto" w:w="0"/>
        <w:jc w:val="center"/>
        <w:tblLayout w:type="autofit"/>
        <w:tblLook w:firstColumn="1" w:firstRow="1" w:lastColumn="0" w:lastRow="0" w:noHBand="0" w:noVBand="1" w:val="04A0"/>
      </w:tblPr>
      <w:tblGrid>
        <w:gridCol w:w="10368"/>
      </w:tblGrid>
      <w:tr>
        <w:trPr>
          <w:cantSplit w:val="true"/>
        </w:trPr>
        <w:tc>
          <w:tcPr>
            <w:tcW w:type="dxa" w:w="10368"/>
            <w:shd w:fill="FFF8E1"/>
            <w:tcMar>
              <w:top w:w="140" w:type="dxa"/>
              <w:start w:w="160" w:type="dxa"/>
              <w:bottom w:w="140" w:type="dxa"/>
              <w:end w:w="160" w:type="dxa"/>
            </w:tcMar>
            <w:tcBorders>
              <w:start w:val="single" w:sz="20" w:color="D6A81E"/>
            </w:tcBorders>
          </w:tcPr>
          <w:p>
            <w:pPr>
              <w:bidi w:val="1"/>
              <w:jc w:val="right"/>
            </w:pPr>
            <w:r>
              <w:rPr>
                <w:rFonts w:ascii="Noto Kufi Arabic" w:hAnsi="Noto Kufi Arabic" w:cs="Noto Kufi Arabic" w:eastAsia="Noto Kufi Arabic"/>
                <w:b/>
                <w:color w:val="0B2A53"/>
                <w:sz w:val="23"/>
                <w:rtl w:val="1"/>
              </w:rPr>
              <w:t>التقييم العام</w:t>
              <w:br/>
            </w:r>
            <w:r>
              <w:rPr>
                <w:rFonts w:ascii="Noto Sans Arabic" w:hAnsi="Noto Sans Arabic" w:cs="Noto Sans Arabic" w:eastAsia="Noto Sans Arabic"/>
                <w:b w:val="0"/>
                <w:color w:val="1F2937"/>
                <w:sz w:val="20"/>
                <w:rtl w:val="1"/>
              </w:rPr>
              <w:t>منظومة متكاملة تجمع بين واجهة عامة احترافية، مسار قبول رقمي، Back Office مؤسسي، وقابلية توسع عالية. وهي نقطة قوية جدًا كسابقة أعمال لأنها توضح القدرة على تنفيذ مشروع Full-Stack يربط تجربة المستخدم بالعمليات الداخلية.</w:t>
            </w:r>
          </w:p>
        </w:tc>
      </w:tr>
    </w:tbl>
    <w:p>
      <w:pPr>
        <w:spacing w:after="20"/>
      </w:pPr>
    </w:p>
    <w:p>
      <w:pPr>
        <w:bidi w:val="1"/>
        <w:spacing w:before="240" w:after="140"/>
        <w:jc w:val="right"/>
        <w:keepNext/>
        <w:pBdr>
          <w:bottom w:val="single" w:sz="14" w:space="2" w:color="D6A81E"/>
        </w:pBdr>
      </w:pPr>
      <w:r>
        <w:rPr>
          <w:rFonts w:ascii="Noto Kufi Arabic" w:hAnsi="Noto Kufi Arabic" w:cs="Noto Kufi Arabic" w:eastAsia="Noto Kufi Arabic"/>
          <w:b/>
          <w:color w:val="0B2A53"/>
          <w:sz w:val="34"/>
          <w:rtl w:val="1"/>
        </w:rPr>
        <w:t>15. المراجع ومصادر التحقق</w:t>
      </w:r>
    </w:p>
    <w:p>
      <w:pPr>
        <w:bidi w:val="1"/>
        <w:spacing w:after="60"/>
        <w:jc w:val="right"/>
      </w:pPr>
      <w:r>
        <w:rPr>
          <w:rFonts w:ascii="Noto Sans Arabic" w:hAnsi="Noto Sans Arabic" w:cs="Noto Sans Arabic" w:eastAsia="Noto Sans Arabic"/>
          <w:b/>
          <w:color w:val="0B2A53"/>
          <w:sz w:val="19"/>
          <w:rtl w:val="1"/>
        </w:rPr>
        <w:t xml:space="preserve">• الموقع الرسمي لمدارس Renaissance Misr: </w:t>
      </w:r>
      <w:hyperlink r:id="rId18">
        <w:r>
          <w:rPr>
            <w:rFonts w:ascii="Noto Sans Arabic" w:hAnsi="Noto Sans Arabic" w:cs="Noto Sans Arabic" w:eastAsia="Noto Sans Arabic"/>
            <w:rtl w:val="1"/>
            <w:color w:val="173B66"/>
            <w:u w:val="single"/>
          </w:rPr>
          <w:t>https://rms-edu.net/</w:t>
        </w:r>
      </w:hyperlink>
    </w:p>
    <w:p>
      <w:pPr>
        <w:bidi w:val="1"/>
        <w:spacing w:after="60"/>
        <w:jc w:val="right"/>
      </w:pPr>
      <w:r>
        <w:rPr>
          <w:rFonts w:ascii="Noto Sans Arabic" w:hAnsi="Noto Sans Arabic" w:cs="Noto Sans Arabic" w:eastAsia="Noto Sans Arabic"/>
          <w:b/>
          <w:color w:val="0B2A53"/>
          <w:sz w:val="19"/>
          <w:rtl w:val="1"/>
        </w:rPr>
        <w:t xml:space="preserve">• النسخة العربية: </w:t>
      </w:r>
      <w:hyperlink r:id="rId19">
        <w:r>
          <w:rPr>
            <w:rFonts w:ascii="Noto Sans Arabic" w:hAnsi="Noto Sans Arabic" w:cs="Noto Sans Arabic" w:eastAsia="Noto Sans Arabic"/>
            <w:rtl w:val="1"/>
            <w:color w:val="173B66"/>
            <w:u w:val="single"/>
          </w:rPr>
          <w:t>https://rms-edu.net/ar</w:t>
        </w:r>
      </w:hyperlink>
    </w:p>
    <w:p>
      <w:pPr>
        <w:bidi w:val="1"/>
        <w:spacing w:after="60"/>
        <w:jc w:val="right"/>
      </w:pPr>
      <w:r>
        <w:rPr>
          <w:rFonts w:ascii="Noto Sans Arabic" w:hAnsi="Noto Sans Arabic" w:cs="Noto Sans Arabic" w:eastAsia="Noto Sans Arabic"/>
          <w:b/>
          <w:color w:val="0B2A53"/>
          <w:sz w:val="19"/>
          <w:rtl w:val="1"/>
        </w:rPr>
        <w:t xml:space="preserve">• النسخة الإنجليزية: </w:t>
      </w:r>
      <w:hyperlink r:id="rId20">
        <w:r>
          <w:rPr>
            <w:rFonts w:ascii="Noto Sans Arabic" w:hAnsi="Noto Sans Arabic" w:cs="Noto Sans Arabic" w:eastAsia="Noto Sans Arabic"/>
            <w:rtl w:val="1"/>
            <w:color w:val="173B66"/>
            <w:u w:val="single"/>
          </w:rPr>
          <w:t>https://rms-edu.net/en</w:t>
        </w:r>
      </w:hyperlink>
    </w:p>
    <w:p>
      <w:pPr>
        <w:bidi w:val="1"/>
        <w:spacing w:after="60"/>
        <w:jc w:val="right"/>
      </w:pPr>
      <w:r>
        <w:rPr>
          <w:rFonts w:ascii="Noto Sans Arabic" w:hAnsi="Noto Sans Arabic" w:cs="Noto Sans Arabic" w:eastAsia="Noto Sans Arabic"/>
          <w:b/>
          <w:color w:val="0B2A53"/>
          <w:sz w:val="19"/>
          <w:rtl w:val="1"/>
        </w:rPr>
        <w:t xml:space="preserve">• بوابة نظام RMS / Odoo: </w:t>
      </w:r>
      <w:hyperlink r:id="rId14">
        <w:r>
          <w:rPr>
            <w:rFonts w:ascii="Noto Sans Arabic" w:hAnsi="Noto Sans Arabic" w:cs="Noto Sans Arabic" w:eastAsia="Noto Sans Arabic"/>
            <w:rtl w:val="1"/>
            <w:color w:val="173B66"/>
            <w:u w:val="single"/>
          </w:rPr>
          <w:t>https://system.rms-edu.net/web</w:t>
        </w:r>
      </w:hyperlink>
    </w:p>
    <w:p>
      <w:pPr>
        <w:bidi w:val="1"/>
        <w:spacing w:after="60"/>
        <w:jc w:val="right"/>
      </w:pPr>
      <w:r>
        <w:rPr>
          <w:rFonts w:ascii="Noto Sans Arabic" w:hAnsi="Noto Sans Arabic" w:cs="Noto Sans Arabic" w:eastAsia="Noto Sans Arabic"/>
          <w:b/>
          <w:color w:val="0B2A53"/>
          <w:sz w:val="19"/>
          <w:rtl w:val="1"/>
        </w:rPr>
        <w:t xml:space="preserve">• توثيق Odoo 17 – External API: </w:t>
      </w:r>
      <w:hyperlink r:id="rId21">
        <w:r>
          <w:rPr>
            <w:rFonts w:ascii="Noto Sans Arabic" w:hAnsi="Noto Sans Arabic" w:cs="Noto Sans Arabic" w:eastAsia="Noto Sans Arabic"/>
            <w:rtl w:val="1"/>
            <w:color w:val="173B66"/>
            <w:u w:val="single"/>
          </w:rPr>
          <w:t>https://www.odoo.com/documentation/17.0/developer/reference/external_api.html</w:t>
        </w:r>
      </w:hyperlink>
    </w:p>
    <w:p>
      <w:pPr>
        <w:bidi w:val="1"/>
        <w:spacing w:after="60"/>
        <w:jc w:val="right"/>
      </w:pPr>
      <w:r>
        <w:rPr>
          <w:rFonts w:ascii="Noto Sans Arabic" w:hAnsi="Noto Sans Arabic" w:cs="Noto Sans Arabic" w:eastAsia="Noto Sans Arabic"/>
          <w:b/>
          <w:color w:val="0B2A53"/>
          <w:sz w:val="19"/>
          <w:rtl w:val="1"/>
        </w:rPr>
        <w:t xml:space="preserve">• توثيق Odoo 17 – Security / Access Rights: </w:t>
      </w:r>
      <w:hyperlink r:id="rId22">
        <w:r>
          <w:rPr>
            <w:rFonts w:ascii="Noto Sans Arabic" w:hAnsi="Noto Sans Arabic" w:cs="Noto Sans Arabic" w:eastAsia="Noto Sans Arabic"/>
            <w:rtl w:val="1"/>
            <w:color w:val="173B66"/>
            <w:u w:val="single"/>
          </w:rPr>
          <w:t>https://www.odoo.com/documentation/17.0/developer/reference/backend/security.html</w:t>
        </w:r>
      </w:hyperlink>
    </w:p>
    <w:p>
      <w:pPr>
        <w:bidi w:val="1"/>
        <w:spacing w:after="60"/>
        <w:jc w:val="right"/>
      </w:pPr>
      <w:r>
        <w:rPr>
          <w:rFonts w:ascii="Noto Sans Arabic" w:hAnsi="Noto Sans Arabic" w:cs="Noto Sans Arabic" w:eastAsia="Noto Sans Arabic"/>
          <w:b/>
          <w:color w:val="0B2A53"/>
          <w:sz w:val="19"/>
          <w:rtl w:val="1"/>
        </w:rPr>
        <w:t xml:space="preserve">• Laravel Documentation – Localization: </w:t>
      </w:r>
      <w:hyperlink r:id="rId23">
        <w:r>
          <w:rPr>
            <w:rFonts w:ascii="Noto Sans Arabic" w:hAnsi="Noto Sans Arabic" w:cs="Noto Sans Arabic" w:eastAsia="Noto Sans Arabic"/>
            <w:rtl w:val="1"/>
            <w:color w:val="173B66"/>
            <w:u w:val="single"/>
          </w:rPr>
          <w:t>https://laravel.com/docs/localization</w:t>
        </w:r>
      </w:hyperlink>
    </w:p>
    <w:p>
      <w:pPr>
        <w:bidi w:val="1"/>
        <w:spacing w:after="60"/>
        <w:jc w:val="right"/>
      </w:pPr>
      <w:r>
        <w:rPr>
          <w:rFonts w:ascii="Noto Sans Arabic" w:hAnsi="Noto Sans Arabic" w:cs="Noto Sans Arabic" w:eastAsia="Noto Sans Arabic"/>
          <w:b/>
          <w:color w:val="0B2A53"/>
          <w:sz w:val="19"/>
          <w:rtl w:val="1"/>
        </w:rPr>
        <w:t xml:space="preserve">• Laravel Documentation – Validation: </w:t>
      </w:r>
      <w:hyperlink r:id="rId24">
        <w:r>
          <w:rPr>
            <w:rFonts w:ascii="Noto Sans Arabic" w:hAnsi="Noto Sans Arabic" w:cs="Noto Sans Arabic" w:eastAsia="Noto Sans Arabic"/>
            <w:rtl w:val="1"/>
            <w:color w:val="173B66"/>
            <w:u w:val="single"/>
          </w:rPr>
          <w:t>https://laravel.com/docs/validation</w:t>
        </w:r>
      </w:hyperlink>
    </w:p>
    <w:p>
      <w:pPr>
        <w:bidi w:val="1"/>
        <w:spacing w:after="60"/>
        <w:jc w:val="right"/>
      </w:pPr>
      <w:r>
        <w:rPr>
          <w:rFonts w:ascii="Noto Sans Arabic" w:hAnsi="Noto Sans Arabic" w:cs="Noto Sans Arabic" w:eastAsia="Noto Sans Arabic"/>
          <w:b/>
          <w:color w:val="0B2A53"/>
          <w:sz w:val="19"/>
          <w:rtl w:val="1"/>
        </w:rPr>
        <w:t xml:space="preserve">• Laravel Documentation – CSRF Protection: </w:t>
      </w:r>
      <w:hyperlink r:id="rId25">
        <w:r>
          <w:rPr>
            <w:rFonts w:ascii="Noto Sans Arabic" w:hAnsi="Noto Sans Arabic" w:cs="Noto Sans Arabic" w:eastAsia="Noto Sans Arabic"/>
            <w:rtl w:val="1"/>
            <w:color w:val="173B66"/>
            <w:u w:val="single"/>
          </w:rPr>
          <w:t>https://laravel.com/docs/csrf</w:t>
        </w:r>
      </w:hyperlink>
    </w:p>
    <w:p>
      <w:pPr>
        <w:bidi w:val="1"/>
        <w:jc w:val="right"/>
      </w:pPr>
      <w:r>
        <w:rPr>
          <w:rFonts w:ascii="Noto Sans Arabic" w:hAnsi="Noto Sans Arabic" w:cs="Noto Sans Arabic" w:eastAsia="Noto Sans Arabic"/>
          <w:b w:val="0"/>
          <w:color w:val="5B6675"/>
          <w:sz w:val="17"/>
          <w:rtl w:val="1"/>
        </w:rPr>
        <w:t>ملاحظة: تمت مراجعة الواجهات العامة المتاحة بتاريخ 19 أغسطس 2026. الوظائف الداخلية التي تتطلب صلاحيات دخول لم يتم افتراض تفعيلها بشكل قطعي إلا في حدود ما يظهر من الواجهات العامة أو ما يتيحه Odoo 17 كمنصة تقنية.</w:t>
      </w:r>
    </w:p>
    <w:sectPr w:rsidR="00FC693F" w:rsidRPr="0006063C" w:rsidSect="00034616">
      <w:headerReference w:type="default" r:id="rId9"/>
      <w:footerReference w:type="default" r:id="rId10"/>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4680"/>
      <w:gridCol w:w="4680"/>
    </w:tblGrid>
    <w:tr>
      <w:tc>
        <w:tcPr>
          <w:tcW w:type="dxa" w:w="4680"/>
        </w:tcPr>
        <w:p>
          <w:pPr>
            <w:jc w:val="left"/>
          </w:pPr>
          <w:r>
            <w:rPr>
              <w:rFonts w:ascii="Noto Sans Arabic" w:hAnsi="Noto Sans Arabic" w:cs="Noto Sans Arabic" w:eastAsia="Noto Sans Arabic"/>
              <w:b w:val="0"/>
              <w:color w:val="5B6675"/>
              <w:sz w:val="17"/>
            </w:rPr>
            <w:fldChar w:fldCharType="begin"/>
            <w:instrText xml:space="preserve"> PAGE </w:instrText>
            <w:fldChar w:fldCharType="end"/>
          </w:r>
        </w:p>
      </w:tc>
      <w:tc>
        <w:tcPr>
          <w:tcW w:type="dxa" w:w="4680"/>
        </w:tcPr>
        <w:p>
          <w:pPr>
            <w:bidi w:val="1"/>
            <w:jc w:val="right"/>
          </w:pPr>
          <w:r>
            <w:rPr>
              <w:rFonts w:ascii="Noto Sans Arabic" w:hAnsi="Noto Sans Arabic" w:cs="Noto Sans Arabic" w:eastAsia="Noto Sans Arabic"/>
              <w:b w:val="0"/>
              <w:color w:val="5B6675"/>
              <w:sz w:val="16"/>
              <w:rtl w:val="1"/>
            </w:rPr>
            <w:t>تقرير المنظومة الرقمية • 2026</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val="1"/>
      <w:jc w:val="right"/>
    </w:pPr>
    <w:r>
      <w:rPr>
        <w:rFonts w:ascii="Noto Sans Arabic" w:hAnsi="Noto Sans Arabic" w:cs="Noto Sans Arabic" w:eastAsia="Noto Sans Arabic"/>
        <w:b/>
        <w:color w:val="0B2A53"/>
        <w:sz w:val="17"/>
        <w:rtl w:val="1"/>
      </w:rPr>
      <w:t>RMS • Renaissance Misr Schools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Arabic" w:hAnsi="Noto Sans Arabic" w:cs="Noto Sans Arabic"/>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Arabic" w:hAnsi="Noto Sans Arabic" w:cs="Noto Sans Arabic"/>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Noto Sans Arabic" w:hAnsi="Noto Sans Arabic" w:cs="Noto Sans Arabic"/>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hyperlink" Target="https://rms-edu.net" TargetMode="External"/><Relationship Id="rId14" Type="http://schemas.openxmlformats.org/officeDocument/2006/relationships/hyperlink" Target="https://system.rms-edu.net/web" TargetMode="External"/><Relationship Id="rId15" Type="http://schemas.openxmlformats.org/officeDocument/2006/relationships/image" Target="media/image3.jpeg"/><Relationship Id="rId16" Type="http://schemas.openxmlformats.org/officeDocument/2006/relationships/image" Target="media/image4.png"/><Relationship Id="rId17" Type="http://schemas.openxmlformats.org/officeDocument/2006/relationships/image" Target="media/image5.jpeg"/><Relationship Id="rId18" Type="http://schemas.openxmlformats.org/officeDocument/2006/relationships/hyperlink" Target="https://rms-edu.net/" TargetMode="External"/><Relationship Id="rId19" Type="http://schemas.openxmlformats.org/officeDocument/2006/relationships/hyperlink" Target="https://rms-edu.net/ar" TargetMode="External"/><Relationship Id="rId20" Type="http://schemas.openxmlformats.org/officeDocument/2006/relationships/hyperlink" Target="https://rms-edu.net/en" TargetMode="External"/><Relationship Id="rId21" Type="http://schemas.openxmlformats.org/officeDocument/2006/relationships/hyperlink" Target="https://www.odoo.com/documentation/17.0/developer/reference/external_api.html" TargetMode="External"/><Relationship Id="rId22" Type="http://schemas.openxmlformats.org/officeDocument/2006/relationships/hyperlink" Target="https://www.odoo.com/documentation/17.0/developer/reference/backend/security.html" TargetMode="External"/><Relationship Id="rId23" Type="http://schemas.openxmlformats.org/officeDocument/2006/relationships/hyperlink" Target="https://laravel.com/docs/localization" TargetMode="External"/><Relationship Id="rId24" Type="http://schemas.openxmlformats.org/officeDocument/2006/relationships/hyperlink" Target="https://laravel.com/docs/validation" TargetMode="External"/><Relationship Id="rId25" Type="http://schemas.openxmlformats.org/officeDocument/2006/relationships/hyperlink" Target="https://laravel.com/docs/csr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RMS Digital Ecosystem Report – Odoo 17 + Laravel</dc:title>
  <dc:subject>تقرير تفصيلي عن مميزات ونقاط قوة نظام RMS والموقع الرسمي</dc:subject>
  <dc:creator>OpenAI</dc:creator>
  <cp:keywords>RMS, Odoo 17, Laravel, School Management, Admissions, Digital Transformation</cp:keywords>
  <dc:description>generated by python-docx</dc:description>
  <cp:lastModifiedBy/>
  <cp:revision>1</cp:revision>
  <dcterms:created xsi:type="dcterms:W3CDTF">2013-12-23T23:15:00Z</dcterms:created>
  <dcterms:modified xsi:type="dcterms:W3CDTF">2013-12-23T23:15:00Z</dcterms:modified>
  <cp:category/>
</cp:coreProperties>
</file>